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E5653E" w:rsidRPr="007869BB" w:rsidP="00337F53" w14:paraId="37E03F45" w14:textId="77777777">
      <w:pPr>
        <w:rPr>
          <w:szCs w:val="24"/>
          <w:lang w:val="lv-LV"/>
        </w:rPr>
      </w:pPr>
    </w:p>
    <w:tbl>
      <w:tblPr>
        <w:tblW w:w="5270" w:type="dxa"/>
        <w:tblLayout w:type="fixed"/>
        <w:tblCellMar>
          <w:left w:w="28" w:type="dxa"/>
          <w:right w:w="28" w:type="dxa"/>
        </w:tblCellMar>
        <w:tblLook w:val="04A0"/>
      </w:tblPr>
      <w:tblGrid>
        <w:gridCol w:w="453"/>
        <w:gridCol w:w="1702"/>
        <w:gridCol w:w="566"/>
        <w:gridCol w:w="2549"/>
      </w:tblGrid>
      <w:tr w14:paraId="37E03F49" w14:textId="77777777" w:rsidTr="009D0572">
        <w:tblPrEx>
          <w:tblW w:w="5270" w:type="dxa"/>
          <w:tblLayout w:type="fixed"/>
          <w:tblCellMar>
            <w:left w:w="28" w:type="dxa"/>
            <w:right w:w="28" w:type="dxa"/>
          </w:tblCellMar>
          <w:tblLook w:val="04A0"/>
        </w:tblPrEx>
        <w:trPr>
          <w:cantSplit/>
          <w:trHeight w:hRule="exact" w:val="397"/>
        </w:trPr>
        <w:tc>
          <w:tcPr>
            <w:tcW w:w="2155" w:type="dxa"/>
            <w:gridSpan w:val="2"/>
            <w:tcBorders>
              <w:top w:val="nil"/>
              <w:left w:val="nil"/>
              <w:bottom w:val="single" w:sz="4" w:space="0" w:color="auto"/>
              <w:right w:val="nil"/>
            </w:tcBorders>
            <w:hideMark/>
          </w:tcPr>
          <w:p w:rsidR="00E5653E" w:rsidRPr="007869BB" w:rsidP="00331F1F" w14:paraId="37E03F46" w14:textId="77777777">
            <w:pPr>
              <w:pStyle w:val="NoSpacing"/>
              <w:rPr>
                <w:lang w:val="lv-LV"/>
              </w:rPr>
            </w:pPr>
            <w:r w:rsidRPr="007869BB">
              <w:rPr>
                <w:noProof/>
                <w:lang w:val="lv-LV"/>
              </w:rPr>
              <w:t>08.05.2018</w:t>
            </w:r>
          </w:p>
        </w:tc>
        <w:tc>
          <w:tcPr>
            <w:tcW w:w="566" w:type="dxa"/>
            <w:hideMark/>
          </w:tcPr>
          <w:p w:rsidR="00E5653E" w:rsidRPr="007869BB" w:rsidP="00331F1F" w14:paraId="37E03F47" w14:textId="77777777">
            <w:pPr>
              <w:pStyle w:val="NoSpacing"/>
              <w:rPr>
                <w:lang w:val="lv-LV"/>
              </w:rPr>
            </w:pPr>
            <w:r w:rsidRPr="007869BB">
              <w:rPr>
                <w:lang w:val="lv-LV"/>
              </w:rPr>
              <w:t xml:space="preserve"> Nr.</w:t>
            </w:r>
          </w:p>
        </w:tc>
        <w:tc>
          <w:tcPr>
            <w:tcW w:w="2549" w:type="dxa"/>
            <w:tcBorders>
              <w:top w:val="nil"/>
              <w:left w:val="nil"/>
              <w:bottom w:val="single" w:sz="4" w:space="0" w:color="auto"/>
              <w:right w:val="nil"/>
            </w:tcBorders>
            <w:hideMark/>
          </w:tcPr>
          <w:p w:rsidR="00E5653E" w:rsidRPr="007869BB" w:rsidP="00331F1F" w14:paraId="37E03F48" w14:textId="77777777">
            <w:pPr>
              <w:pStyle w:val="NoSpacing"/>
              <w:rPr>
                <w:lang w:val="lv-LV"/>
              </w:rPr>
            </w:pPr>
            <w:r w:rsidRPr="007869BB">
              <w:rPr>
                <w:noProof/>
                <w:lang w:val="lv-LV"/>
              </w:rPr>
              <w:t>3.4-14e/1101/2018</w:t>
            </w:r>
          </w:p>
        </w:tc>
      </w:tr>
      <w:tr w14:paraId="37E03F4E" w14:textId="77777777" w:rsidTr="005B126A">
        <w:tblPrEx>
          <w:tblW w:w="5270" w:type="dxa"/>
          <w:tblLayout w:type="fixed"/>
          <w:tblCellMar>
            <w:left w:w="28" w:type="dxa"/>
            <w:right w:w="28" w:type="dxa"/>
          </w:tblCellMar>
          <w:tblLook w:val="04A0"/>
        </w:tblPrEx>
        <w:trPr>
          <w:cantSplit/>
          <w:trHeight w:hRule="exact" w:val="397"/>
        </w:trPr>
        <w:tc>
          <w:tcPr>
            <w:tcW w:w="453" w:type="dxa"/>
            <w:hideMark/>
          </w:tcPr>
          <w:p w:rsidR="00331F1F" w:rsidRPr="007869BB" w:rsidP="00331F1F" w14:paraId="37E03F4A" w14:textId="77777777">
            <w:pPr>
              <w:pStyle w:val="NoSpacing"/>
              <w:rPr>
                <w:lang w:val="lv-LV"/>
              </w:rPr>
            </w:pPr>
            <w:r w:rsidRPr="007869BB">
              <w:rPr>
                <w:lang w:val="lv-LV"/>
              </w:rPr>
              <w:t>Uz</w:t>
            </w:r>
          </w:p>
        </w:tc>
        <w:tc>
          <w:tcPr>
            <w:tcW w:w="1702" w:type="dxa"/>
            <w:tcBorders>
              <w:top w:val="nil"/>
              <w:left w:val="nil"/>
              <w:bottom w:val="single" w:sz="4" w:space="0" w:color="auto"/>
              <w:right w:val="nil"/>
            </w:tcBorders>
          </w:tcPr>
          <w:p w:rsidR="00331F1F" w:rsidRPr="007869BB" w:rsidP="00331F1F" w14:paraId="37E03F4B" w14:textId="79614157">
            <w:pPr>
              <w:pStyle w:val="NoSpacing"/>
              <w:rPr>
                <w:lang w:val="lv-LV"/>
              </w:rPr>
            </w:pPr>
            <w:r>
              <w:rPr>
                <w:lang w:val="lv-LV"/>
              </w:rPr>
              <w:t>23.03.2018.</w:t>
            </w:r>
          </w:p>
        </w:tc>
        <w:tc>
          <w:tcPr>
            <w:tcW w:w="566" w:type="dxa"/>
            <w:hideMark/>
          </w:tcPr>
          <w:p w:rsidR="00331F1F" w:rsidRPr="007869BB" w:rsidP="00331F1F" w14:paraId="37E03F4C" w14:textId="77777777">
            <w:pPr>
              <w:pStyle w:val="NoSpacing"/>
              <w:rPr>
                <w:lang w:val="lv-LV"/>
              </w:rPr>
            </w:pPr>
            <w:r w:rsidRPr="007869BB">
              <w:rPr>
                <w:lang w:val="lv-LV"/>
              </w:rPr>
              <w:t xml:space="preserve"> Nr.</w:t>
            </w:r>
          </w:p>
        </w:tc>
        <w:tc>
          <w:tcPr>
            <w:tcW w:w="2549" w:type="dxa"/>
            <w:tcBorders>
              <w:top w:val="nil"/>
              <w:left w:val="nil"/>
              <w:bottom w:val="single" w:sz="4" w:space="0" w:color="auto"/>
              <w:right w:val="nil"/>
            </w:tcBorders>
          </w:tcPr>
          <w:p w:rsidR="00331F1F" w:rsidRPr="007869BB" w:rsidP="00331F1F" w14:paraId="37E03F4D" w14:textId="23148E29">
            <w:pPr>
              <w:pStyle w:val="NoSpacing"/>
              <w:rPr>
                <w:lang w:val="lv-LV"/>
              </w:rPr>
            </w:pPr>
            <w:r>
              <w:rPr>
                <w:lang w:val="lv-LV"/>
              </w:rPr>
              <w:t>6</w:t>
            </w:r>
          </w:p>
        </w:tc>
      </w:tr>
    </w:tbl>
    <w:p w:rsidR="004E725F" w:rsidP="005F7717" w14:paraId="0CBD5807" w14:textId="77777777">
      <w:pPr>
        <w:pStyle w:val="naisf14pt"/>
        <w:ind w:firstLine="0"/>
        <w:rPr>
          <w:noProof/>
          <w:sz w:val="24"/>
        </w:rPr>
      </w:pPr>
    </w:p>
    <w:p w:rsidR="00173FA5" w:rsidRPr="007869BB" w:rsidP="00173FA5" w14:paraId="37E03F50" w14:textId="0BB8AC51">
      <w:pPr>
        <w:pStyle w:val="naisf14pt"/>
        <w:ind w:firstLine="0"/>
        <w:jc w:val="right"/>
        <w:rPr>
          <w:sz w:val="24"/>
        </w:rPr>
      </w:pPr>
      <w:r w:rsidRPr="007869BB">
        <w:rPr>
          <w:noProof/>
          <w:sz w:val="24"/>
        </w:rPr>
        <w:t>Latvijas Melioratoru biedrība</w:t>
      </w:r>
      <w:r w:rsidR="005F7717">
        <w:rPr>
          <w:noProof/>
          <w:sz w:val="24"/>
        </w:rPr>
        <w:t>i</w:t>
      </w:r>
    </w:p>
    <w:p w:rsidR="00173FA5" w:rsidRPr="007869BB" w:rsidP="00173FA5" w14:paraId="37E03F51" w14:textId="77777777">
      <w:pPr>
        <w:pStyle w:val="naisf14pt"/>
        <w:ind w:firstLine="0"/>
        <w:rPr>
          <w:sz w:val="24"/>
        </w:rPr>
      </w:pPr>
    </w:p>
    <w:p w:rsidR="005F7717" w:rsidP="005F7717" w14:paraId="652D2594" w14:textId="77777777">
      <w:pPr>
        <w:ind w:firstLine="0"/>
        <w:rPr>
          <w:noProof/>
          <w:szCs w:val="24"/>
          <w:lang w:val="lv-LV" w:eastAsia="lv-LV"/>
        </w:rPr>
      </w:pPr>
      <w:r w:rsidRPr="004E725F">
        <w:rPr>
          <w:noProof/>
          <w:szCs w:val="24"/>
          <w:lang w:val="lv-LV" w:eastAsia="lv-LV"/>
        </w:rPr>
        <w:t xml:space="preserve">Par meliorācijas sistēmas efektīvas </w:t>
      </w:r>
    </w:p>
    <w:p w:rsidR="004E725F" w:rsidP="005F7717" w14:paraId="773F4A89" w14:textId="10078652">
      <w:pPr>
        <w:ind w:firstLine="0"/>
        <w:rPr>
          <w:noProof/>
          <w:szCs w:val="24"/>
          <w:lang w:val="lv-LV" w:eastAsia="lv-LV"/>
        </w:rPr>
      </w:pPr>
      <w:r w:rsidRPr="004E725F">
        <w:rPr>
          <w:noProof/>
          <w:szCs w:val="24"/>
          <w:lang w:val="lv-LV" w:eastAsia="lv-LV"/>
        </w:rPr>
        <w:t>darbības nodrošināšanu</w:t>
      </w:r>
    </w:p>
    <w:p w:rsidR="004E725F" w:rsidRPr="004E725F" w:rsidP="004E725F" w14:paraId="56E6BA1E" w14:textId="77777777">
      <w:pPr>
        <w:rPr>
          <w:noProof/>
          <w:szCs w:val="24"/>
          <w:lang w:val="lv-LV" w:eastAsia="lv-LV"/>
        </w:rPr>
      </w:pPr>
    </w:p>
    <w:p w:rsidR="004E725F" w:rsidRPr="004E725F" w:rsidP="004E725F" w14:paraId="521B5BCF" w14:textId="77777777">
      <w:pPr>
        <w:rPr>
          <w:noProof/>
          <w:szCs w:val="24"/>
          <w:lang w:val="lv-LV" w:eastAsia="lv-LV"/>
        </w:rPr>
      </w:pPr>
    </w:p>
    <w:p w:rsidR="004E725F" w:rsidRPr="004E725F" w:rsidP="004E725F" w14:paraId="7E9DFFB8" w14:textId="77777777">
      <w:pPr>
        <w:rPr>
          <w:noProof/>
          <w:szCs w:val="24"/>
          <w:lang w:val="lv-LV" w:eastAsia="lv-LV"/>
        </w:rPr>
      </w:pPr>
      <w:r w:rsidRPr="004E725F">
        <w:rPr>
          <w:noProof/>
          <w:szCs w:val="24"/>
          <w:lang w:val="lv-LV" w:eastAsia="lv-LV"/>
        </w:rPr>
        <w:t>Zemkopības ministrija 2018.gada 26.martā ir saņēmusi un izvērtējusi Latvijas Melioratoru biedrības 23.03.2018. vēstuli Nr. 6 par meliorācijas sistēmas efektīvas darbības nodrošināšanu.</w:t>
      </w:r>
    </w:p>
    <w:p w:rsidR="004E725F" w:rsidRPr="004E725F" w:rsidP="004E725F" w14:paraId="0E6828CA" w14:textId="73B78DE7">
      <w:pPr>
        <w:rPr>
          <w:noProof/>
          <w:szCs w:val="24"/>
          <w:lang w:val="lv-LV" w:eastAsia="lv-LV"/>
        </w:rPr>
      </w:pPr>
      <w:r w:rsidRPr="004E725F">
        <w:rPr>
          <w:noProof/>
          <w:szCs w:val="24"/>
          <w:lang w:val="lv-LV" w:eastAsia="lv-LV"/>
        </w:rPr>
        <w:t xml:space="preserve">Vēstulē veiktā situācijas analīze par meliorācijas sistēmu apsaimniekošanu, pārvaldību, finansējumu un speciālistu sagatavošanu </w:t>
      </w:r>
      <w:r w:rsidR="00B747D5">
        <w:rPr>
          <w:noProof/>
          <w:szCs w:val="24"/>
          <w:lang w:val="lv-LV" w:eastAsia="lv-LV"/>
        </w:rPr>
        <w:t>norāda uz virzieniem,</w:t>
      </w:r>
      <w:r w:rsidRPr="004E725F">
        <w:rPr>
          <w:noProof/>
          <w:szCs w:val="24"/>
          <w:lang w:val="lv-LV" w:eastAsia="lv-LV"/>
        </w:rPr>
        <w:t xml:space="preserve"> kuriem nepieciešams pievērst lielāku uzmanību un </w:t>
      </w:r>
      <w:r w:rsidR="00B747D5">
        <w:rPr>
          <w:noProof/>
          <w:szCs w:val="24"/>
          <w:lang w:val="lv-LV" w:eastAsia="lv-LV"/>
        </w:rPr>
        <w:t>tos kopīgiem spēkiem pilnveidot.</w:t>
      </w:r>
    </w:p>
    <w:p w:rsidR="004E725F" w:rsidRPr="004E725F" w:rsidP="004E725F" w14:paraId="4CF17312" w14:textId="77777777">
      <w:pPr>
        <w:rPr>
          <w:noProof/>
          <w:szCs w:val="24"/>
          <w:lang w:val="lv-LV" w:eastAsia="lv-LV"/>
        </w:rPr>
      </w:pPr>
      <w:r w:rsidRPr="004E725F">
        <w:rPr>
          <w:noProof/>
          <w:szCs w:val="24"/>
          <w:lang w:val="lv-LV" w:eastAsia="lv-LV"/>
        </w:rPr>
        <w:t>Zemkopības ministrija sniedz sekojošas atbildes uz Latvijas Melioratoru biedrības vēstulē izvirzītajiem jautājumiem.</w:t>
      </w:r>
    </w:p>
    <w:p w:rsidR="004E725F" w:rsidRPr="004E725F" w:rsidP="004E725F" w14:paraId="65D86163" w14:textId="592EC756">
      <w:pPr>
        <w:rPr>
          <w:noProof/>
          <w:szCs w:val="24"/>
          <w:lang w:val="lv-LV" w:eastAsia="lv-LV"/>
        </w:rPr>
      </w:pPr>
      <w:r w:rsidRPr="004E725F">
        <w:rPr>
          <w:noProof/>
          <w:szCs w:val="24"/>
          <w:lang w:val="lv-LV" w:eastAsia="lv-LV"/>
        </w:rPr>
        <w:t xml:space="preserve">2017.gadā tika uzsākts darbs pie meliorācijas jomas stratēģiska dokumenta izstrādes, kurā tiks sniegta analīze par situāciju meliorācijas jomā kopumā un izvirzīti vairāki virzieni un mērķi, kas sasniedzami vidēja termiņa politikas plānošanas periodā. Ir notikušas vairākas darba grupas sanāksmes un tiek apkopoti priekšlikumi, lai dokumenta projektu varētu nodot plašākai sabiedrības apspriešanai. </w:t>
      </w:r>
    </w:p>
    <w:p w:rsidR="004E725F" w:rsidRPr="004E725F" w:rsidP="004E725F" w14:paraId="391D09BA" w14:textId="092CF2A2">
      <w:pPr>
        <w:rPr>
          <w:noProof/>
          <w:szCs w:val="24"/>
          <w:lang w:val="lv-LV" w:eastAsia="lv-LV"/>
        </w:rPr>
      </w:pPr>
      <w:r w:rsidRPr="004E725F">
        <w:rPr>
          <w:noProof/>
          <w:szCs w:val="24"/>
          <w:lang w:val="lv-LV" w:eastAsia="lv-LV"/>
        </w:rPr>
        <w:t>Zemkopības ministrija ir iesniegusi izskatīšanai valdībā Informatīvo ziņojumu ar lūgumu palielināt budžeta finansējumu meliorācijas sistēmu ekspluatācijai un uzturēšanai, kā arī piedāvājusi rast risinājumu elastīga valsts finansējuma modeļa izveidei neatliekamu un sistēmisku meliorācijas projektu īstenošanai, izveidojot Meliorācijas attīstības fondu. Šos Zemkopības ministrijas centienus atbalsta gan Latvijas Pašvaldību savienība, gan lauksaimnieku un melioratoru sabiedriskās organizācijas</w:t>
      </w:r>
      <w:r w:rsidR="00AB3DCE">
        <w:rPr>
          <w:noProof/>
          <w:szCs w:val="24"/>
          <w:lang w:val="lv-LV" w:eastAsia="lv-LV"/>
        </w:rPr>
        <w:t>.</w:t>
      </w:r>
      <w:r w:rsidRPr="004E725F">
        <w:rPr>
          <w:noProof/>
          <w:szCs w:val="24"/>
          <w:lang w:val="lv-LV" w:eastAsia="lv-LV"/>
        </w:rPr>
        <w:t xml:space="preserve"> </w:t>
      </w:r>
    </w:p>
    <w:p w:rsidR="004E725F" w:rsidRPr="004E725F" w:rsidP="004E725F" w14:paraId="2A0AFA97" w14:textId="65CE9417">
      <w:pPr>
        <w:rPr>
          <w:noProof/>
          <w:szCs w:val="24"/>
          <w:lang w:val="lv-LV" w:eastAsia="lv-LV"/>
        </w:rPr>
      </w:pPr>
      <w:r w:rsidRPr="004E725F">
        <w:rPr>
          <w:noProof/>
          <w:szCs w:val="24"/>
          <w:lang w:val="lv-LV" w:eastAsia="lv-LV"/>
        </w:rPr>
        <w:t>Izvērtējot līdzšinējo praksi un tās efektivitāti administratīvajā kontrolē meliorācijas jomā, kā arī, izvērtējot speciālistu kompetenci un iespējas, tika secināts, ka visefektīvāk administratīvo kontroli varētu veikt pašvaldīb</w:t>
      </w:r>
      <w:r w:rsidR="00AB3DCE">
        <w:rPr>
          <w:noProof/>
          <w:szCs w:val="24"/>
          <w:lang w:val="lv-LV" w:eastAsia="lv-LV"/>
        </w:rPr>
        <w:t>u</w:t>
      </w:r>
      <w:r w:rsidRPr="004E725F">
        <w:rPr>
          <w:noProof/>
          <w:szCs w:val="24"/>
          <w:lang w:val="lv-LV" w:eastAsia="lv-LV"/>
        </w:rPr>
        <w:t xml:space="preserve"> amatpersonas. Tādēļ Saeimā 2018.gada 18.janvārī 1.lasījumā ir pieņemts Zemkopības ministrijas izstrādātais likumprojekts </w:t>
      </w:r>
      <w:r w:rsidR="00AB3DCE">
        <w:rPr>
          <w:noProof/>
          <w:szCs w:val="24"/>
          <w:lang w:val="lv-LV" w:eastAsia="lv-LV"/>
        </w:rPr>
        <w:t xml:space="preserve">“Grozījumi Meliorācijas likumā”, </w:t>
      </w:r>
      <w:r w:rsidRPr="004E725F">
        <w:rPr>
          <w:noProof/>
          <w:szCs w:val="24"/>
          <w:lang w:val="lv-LV" w:eastAsia="lv-LV"/>
        </w:rPr>
        <w:t xml:space="preserve">kas  paredz, ka administratīvo kontroli par pārkāpumiem meliorācijas jomā pilnā apmērā īstenos pašvaldības, par ko tika panākta vienošanās Latvijas Pašvaldību savienības un Zemkopības ministrijas starpā.  Paredzams,  ka šāds risinājums </w:t>
      </w:r>
      <w:r w:rsidR="00AB3DCE">
        <w:rPr>
          <w:noProof/>
          <w:szCs w:val="24"/>
          <w:lang w:val="lv-LV" w:eastAsia="lv-LV"/>
        </w:rPr>
        <w:t xml:space="preserve">tostarp </w:t>
      </w:r>
      <w:r w:rsidRPr="004E725F">
        <w:rPr>
          <w:noProof/>
          <w:szCs w:val="24"/>
          <w:lang w:val="lv-LV" w:eastAsia="lv-LV"/>
        </w:rPr>
        <w:t xml:space="preserve">stimulēs pašvaldības piesaistīt administratīvo teritoriju pārvaldībā meliorācijas speciālistus.   </w:t>
      </w:r>
    </w:p>
    <w:p w:rsidR="004E725F" w:rsidRPr="004E725F" w:rsidP="004E725F" w14:paraId="023C3A6B" w14:textId="77777777">
      <w:pPr>
        <w:rPr>
          <w:noProof/>
          <w:szCs w:val="24"/>
          <w:lang w:val="lv-LV" w:eastAsia="lv-LV"/>
        </w:rPr>
      </w:pPr>
      <w:r w:rsidRPr="004E725F">
        <w:rPr>
          <w:noProof/>
          <w:szCs w:val="24"/>
          <w:lang w:val="lv-LV" w:eastAsia="lv-LV"/>
        </w:rPr>
        <w:t>Vienlaikus informējam, ka kopš 2015.gada 1.janvāra atbilstoši Meliorācijas likuma 22.2 panta otrajā daļā noteiktajam pašvaldības savos saistošajos noteikumos var paredzēt papildu prasības attiecībā uz pašvaldības nozīmes koplietošanas meliorācijas sistēmas ekspluatāciju un uzturēšanu un atbildību par minēto prasību pārkāpšanu.</w:t>
      </w:r>
    </w:p>
    <w:p w:rsidR="004E725F" w:rsidRPr="004E725F" w:rsidP="004E725F" w14:paraId="5B99B9E4" w14:textId="3C962D73">
      <w:pPr>
        <w:rPr>
          <w:noProof/>
          <w:szCs w:val="24"/>
          <w:lang w:val="lv-LV" w:eastAsia="lv-LV"/>
        </w:rPr>
      </w:pPr>
      <w:r w:rsidRPr="004E725F">
        <w:rPr>
          <w:noProof/>
          <w:szCs w:val="24"/>
          <w:lang w:val="lv-LV" w:eastAsia="lv-LV"/>
        </w:rPr>
        <w:t xml:space="preserve">Pēc Vides aizsardzības  un reģionālās attīstības ministrijas un Latvijas Pašvaldību </w:t>
      </w:r>
      <w:r w:rsidRPr="004E725F">
        <w:rPr>
          <w:noProof/>
          <w:szCs w:val="24"/>
          <w:lang w:val="lv-LV" w:eastAsia="lv-LV"/>
        </w:rPr>
        <w:t>savienības ierosinājuma Zemkopības ministrijā 2017.gada nogalē ir izveidota darba grupa par apdzīvotu vietu meliorāciju, darba grupā pārstāvēti tostarp Latvijas Melioratoru biedrības pārstāvji. Darba grupas mērķi ir  panākt vienotu izpratni par meliorācijas sistēmu un ūdenssaimniecības objektu demarkācijas robežu apdzīvotās vietās, sagatavot priekšlikumus tiesiskā regulējuma pilnveidošanai apdzīvoto vietu meliorācijas jomā, kā arī izvērtēt pretrunas tiesiskajā regulējumā virszemes ūdensobjektu un meliorācijas sistēmu apsaimniekošanas jomā, un sagatavot priekšlikumus tiesiskā regulējuma pilnveidošanai, lai veicinātu starpnozaru vienotu izpratni un novērstu pretrunas tiesiskajā regulējumā. Darba grupas uzdevums tostarp ir piedāvāt risinājumus, kas attiecas uz meliorēto zemju inventarizāciju gan pilsētās</w:t>
      </w:r>
      <w:r w:rsidR="00AB3DCE">
        <w:rPr>
          <w:noProof/>
          <w:szCs w:val="24"/>
          <w:lang w:val="lv-LV" w:eastAsia="lv-LV"/>
        </w:rPr>
        <w:t xml:space="preserve">, </w:t>
      </w:r>
      <w:r w:rsidRPr="004E725F">
        <w:rPr>
          <w:noProof/>
          <w:szCs w:val="24"/>
          <w:lang w:val="lv-LV" w:eastAsia="lv-LV"/>
        </w:rPr>
        <w:t xml:space="preserve">gan lauku teritorijā. </w:t>
      </w:r>
    </w:p>
    <w:p w:rsidR="004E725F" w:rsidRPr="004E725F" w:rsidP="00AB3DCE" w14:paraId="337D4150" w14:textId="795685B3">
      <w:pPr>
        <w:rPr>
          <w:noProof/>
          <w:szCs w:val="24"/>
          <w:lang w:val="lv-LV" w:eastAsia="lv-LV"/>
        </w:rPr>
      </w:pPr>
      <w:r w:rsidRPr="004E725F">
        <w:rPr>
          <w:noProof/>
          <w:szCs w:val="24"/>
          <w:lang w:val="lv-LV" w:eastAsia="lv-LV"/>
        </w:rPr>
        <w:t>Darba grupā izskanējuši dažādi viedokļi par meliorācijas sistēmu inventarizācijas darbu veicēju kvalifikāciju un apjomu. Zemkopības ministrija uzskata ka šobrīd normatīvajos aktos noteiktā meliorācijas sistēmu inventarizācijas veicēja kvalifikācija ir pietiekama un atbilstoša kvalitatīvas inventarizācijas veikšanai. Jau šobrīd Ministru kabineta 2010.gada 13.jūlijā noteikumu Nr.623 “Meliorācijas kadastra noteikumi” 34.punktā ir noteikts, ka meliorācijas sistēmu inventarizāciju veic  normatīvajos aktos par būvprakses un arhitekta prakses sertifikātu piešķiršanu, reģistrēšanu un anulēšanu noteiktajā kārtībā sertificēta persona, kurai piešķirts būvprakses sertifikāts meliorācijas sistēmu, upju hidrotehnisko būvju projektēšanā vai meliorācijas sistēmu, upju hidrotehnisko būvju būvdarbu vadīšanā un būvuzraudzībā.</w:t>
      </w:r>
      <w:r w:rsidR="00AB3DCE">
        <w:rPr>
          <w:noProof/>
          <w:szCs w:val="24"/>
          <w:lang w:val="lv-LV" w:eastAsia="lv-LV"/>
        </w:rPr>
        <w:t xml:space="preserve"> Zemkopības ministrijai nav pamata apšaubīt Hidromelioratīvās būvniecības speciālistu sertifikācijas centra eksaminēto speciālistu augsto kvalifikāciju.</w:t>
      </w:r>
    </w:p>
    <w:p w:rsidR="004E725F" w:rsidRPr="004E725F" w:rsidP="004E725F" w14:paraId="673F709A" w14:textId="3F80B443">
      <w:pPr>
        <w:rPr>
          <w:noProof/>
          <w:szCs w:val="24"/>
          <w:lang w:val="lv-LV" w:eastAsia="lv-LV"/>
        </w:rPr>
      </w:pPr>
      <w:r w:rsidRPr="004E725F">
        <w:rPr>
          <w:noProof/>
          <w:szCs w:val="24"/>
          <w:lang w:val="lv-LV" w:eastAsia="lv-LV"/>
        </w:rPr>
        <w:t>Zemkopības ministrija vairākkārtīgi ir vērsusi Latvijas pašvaldību uzmanību uz meliorācijas speciālistu piesaisti pašvaldībās un to būvvaldēs. Aicinām arī Jūsu organizāciju šajā jautājumā  uzrunāt pašvaldību amatpersonas.</w:t>
      </w:r>
    </w:p>
    <w:p w:rsidR="004E725F" w:rsidRPr="004E725F" w:rsidP="004E725F" w14:paraId="07CFBC49" w14:textId="46C38847">
      <w:pPr>
        <w:rPr>
          <w:noProof/>
          <w:szCs w:val="24"/>
          <w:lang w:val="lv-LV" w:eastAsia="lv-LV"/>
        </w:rPr>
      </w:pPr>
      <w:r w:rsidRPr="004E725F">
        <w:rPr>
          <w:noProof/>
          <w:szCs w:val="24"/>
          <w:lang w:val="lv-LV" w:eastAsia="lv-LV"/>
        </w:rPr>
        <w:t>Jūsu ierosinājumi bebru populācijas samazināšanas veicināšanai Latvijā ir nodoti Zemkopības ministrijas medību jautājumu speciālistiem izvērtēšanai.</w:t>
      </w:r>
    </w:p>
    <w:p w:rsidR="004E725F" w:rsidRPr="004E725F" w:rsidP="004E725F" w14:paraId="4776E50E" w14:textId="1C932C29">
      <w:pPr>
        <w:rPr>
          <w:noProof/>
          <w:szCs w:val="24"/>
          <w:lang w:val="lv-LV" w:eastAsia="lv-LV"/>
        </w:rPr>
      </w:pPr>
      <w:r>
        <w:rPr>
          <w:noProof/>
          <w:szCs w:val="24"/>
          <w:lang w:val="lv-LV" w:eastAsia="lv-LV"/>
        </w:rPr>
        <w:t>Iepriekš m</w:t>
      </w:r>
      <w:r w:rsidRPr="004E725F">
        <w:rPr>
          <w:noProof/>
          <w:szCs w:val="24"/>
          <w:lang w:val="lv-LV" w:eastAsia="lv-LV"/>
        </w:rPr>
        <w:t>inētajā darba grupā ir panākta vienošanās caurskatīt vides prasību mijiedarbību ar meliorācijas sistēmu ekspluatāciju un būvniecību. Virknē normatīvo aktu būtu veicami uzlabojumi, lai mazinātu administratīvo slogu un izslēgtu iespējas subjektīviem meliorācijas sistēmu un hidrotehnisko būvju atjaunošanas nosacījumiem. Vairākos jautājumos Zemkopības ministrija un valsts SIA “Zemkopības ministrijas nekustamie īpašumi” ir panākuši mutisku vienošanos ar vides pārraudzības valsts institūcijām par vides normatīvu vienotu interpretāciju un vienotiem nosacījumiem.</w:t>
      </w:r>
    </w:p>
    <w:p w:rsidR="004E725F" w:rsidRPr="004E725F" w:rsidP="004E725F" w14:paraId="373E2E31" w14:textId="26C4CBC8">
      <w:pPr>
        <w:rPr>
          <w:noProof/>
          <w:szCs w:val="24"/>
          <w:lang w:val="lv-LV" w:eastAsia="lv-LV"/>
        </w:rPr>
      </w:pPr>
      <w:r w:rsidRPr="004E725F">
        <w:rPr>
          <w:noProof/>
          <w:szCs w:val="24"/>
          <w:lang w:val="lv-LV" w:eastAsia="lv-LV"/>
        </w:rPr>
        <w:t xml:space="preserve">Studiju programma „Meliorācija”, kas sagatavoja speciālistus ar kvalifikāciju „inženieris hidrotehniķis”, LLU tika īstenota līdz 90-to gadu vidum. Pēc tam, kad vairākus gadus programmā netika uzņemti studenti, to pārveidoja ar jaunu nosaukumu „Vide un ūdenssaimniecība”, paplašinot saturu ar mūsdienās aktuālās vides aizsardzības jomu, kas absolventiem radīja plašākas darba izvēles iespējas. Tomēr neskatoties uz studiju programmas nosaukuma un satura maiņu, tajā joprojām ir saglabāta būtiska, ar meliorācijas jautājumiem saistīta apmācības daļa, kas ļauj programmas absolventiem pilnvērtīgi strādāt meliorācijas jomā. Patreiz īstenotajā studiju programmā „Vide un ūdenssaimniecība”, kas ir aktualizēta 2017.gadā,  ir iekļauti sekojoši ar meliorāciju tieši saistīti kursi: Mērniecība (3KP); Ģeoloģija, augsnes zinātne (3KP); Grunts mehānika (2KP); Pazemes ūdeņu hidroloģija (2KP); Inženierhidroloģija (3KJP); Hidraulika (3KP); Meliorācija I - Augsnes mitruma režīms (2KP); Meliorācija II - Nosusināšana (4KP); Meliorācija III - Apūdeņošana (3KP); Meliorācija (IVKP) - Meliorācijas sistēmu ekspluatācija (2KP); Sūkņi un sūknētavas (2KP); Būvju teorijas pamati (3KP); Hidrotehniskās būves (4KP); Ceļi un laukumi (3KP); Būvdarbu organizācija meliorācijā (2KP). Prakses: Mērniecība (2KP); Ģeoloģija, augsnes zinātne (1KP); Hidrometrija, limnoloģija (1KP); Vides inženierijas prakse (Meliorācija) (20 KP); Diplomprojekts (Meliorācija) (12). Pieskaitot studiju kursus Projektēšana AutoCAD vidē (2KP) un Ģeogrāfiskās informācijas sistēmas (4KP) studiju kursu īpatsvars ar ievirzi meliorācijas jautājumos ir aptuveni 50 % (82 KP) no kopējā studiju programmas apjoma. </w:t>
      </w:r>
    </w:p>
    <w:p w:rsidR="004E725F" w:rsidRPr="004E725F" w:rsidP="004E725F" w14:paraId="677EDB0D" w14:textId="77777777">
      <w:pPr>
        <w:rPr>
          <w:noProof/>
          <w:szCs w:val="24"/>
          <w:lang w:val="lv-LV" w:eastAsia="lv-LV"/>
        </w:rPr>
      </w:pPr>
      <w:r w:rsidRPr="004E725F">
        <w:rPr>
          <w:noProof/>
          <w:szCs w:val="24"/>
          <w:lang w:val="lv-LV" w:eastAsia="lv-LV"/>
        </w:rPr>
        <w:t xml:space="preserve">Bez tam studiju programmā notiek apmācība arī citos ar hidrotehniku saistītos jautājumos,  piemēram, dzeramā ūdens un notekūdeņu apsaimniekošanā. Atlikusī programmas daļa nodrošina </w:t>
      </w:r>
      <w:r w:rsidRPr="004E725F">
        <w:rPr>
          <w:noProof/>
          <w:szCs w:val="24"/>
          <w:lang w:val="lv-LV" w:eastAsia="lv-LV"/>
        </w:rPr>
        <w:t xml:space="preserve">MK noteikumu par profesionālo programmu izveidi izpildi un ietver Matemātiku, Fiziku, Tēlotāju ģeometriju un rasēšanu, Ķīmiju, Zemes pārvaldību u.c. kursus, kuri arī agrāk bija iekļauti Meliorācijas studiju programmā. Ar 2017.gadu studiju programmā ir iespējams studēt arī neklātienē. </w:t>
      </w:r>
    </w:p>
    <w:p w:rsidR="004E725F" w:rsidRPr="004E725F" w:rsidP="004E725F" w14:paraId="08A665FB" w14:textId="0FEE8804">
      <w:pPr>
        <w:rPr>
          <w:noProof/>
          <w:szCs w:val="24"/>
          <w:lang w:val="lv-LV" w:eastAsia="lv-LV"/>
        </w:rPr>
      </w:pPr>
      <w:r w:rsidRPr="004E725F">
        <w:rPr>
          <w:noProof/>
          <w:szCs w:val="24"/>
          <w:lang w:val="lv-LV" w:eastAsia="lv-LV"/>
        </w:rPr>
        <w:t>Zemk</w:t>
      </w:r>
      <w:r w:rsidR="00AB3DCE">
        <w:rPr>
          <w:noProof/>
          <w:szCs w:val="24"/>
          <w:lang w:val="lv-LV" w:eastAsia="lv-LV"/>
        </w:rPr>
        <w:t>opības ministrijas un Latvijas L</w:t>
      </w:r>
      <w:r w:rsidRPr="004E725F">
        <w:rPr>
          <w:noProof/>
          <w:szCs w:val="24"/>
          <w:lang w:val="lv-LV" w:eastAsia="lv-LV"/>
        </w:rPr>
        <w:t xml:space="preserve">auksaimniecības universitātes ieskatā profesionālā bakalaura studiju programma „Vide un ūdenssaimniecība” atbilst prasībām, kādas ir uzstādāmas meliorācijas speciālistiem, ko pierāda arī absolventi, kas pēc studiju beigšanas aktīvi darbojas meliorācijas jomā un ir pieprasīti speciālisti. Aktuāls ir jautājums par piešķiramo kvalifikāciju. Pašreiz studiju programmas absolventiem  piešķir kvalifikāciju „vides inženieris”. </w:t>
      </w:r>
    </w:p>
    <w:p w:rsidR="004E725F" w:rsidRPr="004E725F" w:rsidP="004E725F" w14:paraId="72A30301" w14:textId="77777777">
      <w:pPr>
        <w:rPr>
          <w:noProof/>
          <w:szCs w:val="24"/>
          <w:lang w:val="lv-LV" w:eastAsia="lv-LV"/>
        </w:rPr>
      </w:pPr>
      <w:r w:rsidRPr="004E725F">
        <w:rPr>
          <w:noProof/>
          <w:szCs w:val="24"/>
          <w:lang w:val="lv-LV" w:eastAsia="lv-LV"/>
        </w:rPr>
        <w:t>Lai mainītu piešķiramo profesionālo kvalifikāciju ir nepieciešama atbilstoša profesija ar profesijas standartu. 2015.g. Latvijas Lauksaimniecības universitātē kopā ar Latvijas Melioratoru biedrības pārstāvjiem tika izveidoti priekšlikumi Meliorācijas inženiera profesijas standartam.</w:t>
      </w:r>
    </w:p>
    <w:p w:rsidR="004E725F" w:rsidRPr="004E725F" w:rsidP="004E725F" w14:paraId="72B73FBC" w14:textId="77777777">
      <w:pPr>
        <w:rPr>
          <w:noProof/>
          <w:szCs w:val="24"/>
          <w:lang w:val="lv-LV" w:eastAsia="lv-LV"/>
        </w:rPr>
      </w:pPr>
      <w:r w:rsidRPr="004E725F">
        <w:rPr>
          <w:noProof/>
          <w:szCs w:val="24"/>
          <w:lang w:val="lv-LV" w:eastAsia="lv-LV"/>
        </w:rPr>
        <w:t>Līdz ar to ierosinām nozares profesionālajām organizācijām un sadarbības partneriem:</w:t>
      </w:r>
    </w:p>
    <w:p w:rsidR="004E725F" w:rsidRPr="004E725F" w:rsidP="00A276EF" w14:paraId="7B151198" w14:textId="77777777">
      <w:pPr>
        <w:tabs>
          <w:tab w:val="left" w:pos="993"/>
        </w:tabs>
        <w:rPr>
          <w:noProof/>
          <w:szCs w:val="24"/>
          <w:lang w:val="lv-LV" w:eastAsia="lv-LV"/>
        </w:rPr>
      </w:pPr>
      <w:r w:rsidRPr="004E725F">
        <w:rPr>
          <w:noProof/>
          <w:szCs w:val="24"/>
          <w:lang w:val="lv-LV" w:eastAsia="lv-LV"/>
        </w:rPr>
        <w:t>1)</w:t>
      </w:r>
      <w:r w:rsidRPr="004E725F">
        <w:rPr>
          <w:noProof/>
          <w:szCs w:val="24"/>
          <w:lang w:val="lv-LV" w:eastAsia="lv-LV"/>
        </w:rPr>
        <w:tab/>
        <w:t>turpināt Meliorācijas inženiera profesijas standarta izstrādi, balstoties uz iepriekš sagatavotajiem priekšlikumiem, izstrādē iesaistot arī LLU Vides un būvzinātņu fakultātes atbilstošos speciālistus;</w:t>
      </w:r>
    </w:p>
    <w:p w:rsidR="004E725F" w:rsidRPr="004E725F" w:rsidP="00A276EF" w14:paraId="7250EF9F" w14:textId="77777777">
      <w:pPr>
        <w:tabs>
          <w:tab w:val="left" w:pos="993"/>
        </w:tabs>
        <w:rPr>
          <w:noProof/>
          <w:szCs w:val="24"/>
          <w:lang w:val="lv-LV" w:eastAsia="lv-LV"/>
        </w:rPr>
      </w:pPr>
      <w:r w:rsidRPr="004E725F">
        <w:rPr>
          <w:noProof/>
          <w:szCs w:val="24"/>
          <w:lang w:val="lv-LV" w:eastAsia="lv-LV"/>
        </w:rPr>
        <w:t>2)</w:t>
      </w:r>
      <w:r w:rsidRPr="004E725F">
        <w:rPr>
          <w:noProof/>
          <w:szCs w:val="24"/>
          <w:lang w:val="lv-LV" w:eastAsia="lv-LV"/>
        </w:rPr>
        <w:tab/>
        <w:t>ņemot vērā to, ka sagatavoto meliorācijas speciālistu skaits ir tieši saistīts ar studentu skaitu studiju programmā „Vide un ūdenssaimniecība”, jo citas Latvijas augstskolas meliorācijas speciālistus nesagatavo, aicinām Latvijas Melioratoru biedrību un citus sadarbības partnerus aktīvāk iesaistīties sabiedrības informēšanā par speciālistu nepieciešamību meliorācijas jomā un iespējām iegūt nepieciešamo izglītību studējot LLU Vides un ūdenssaimniecības specialitātē pilna vai nepilna laika studijās un rast iespējas nodrošināt studentus ar prakses vietām.</w:t>
      </w:r>
    </w:p>
    <w:p w:rsidR="004E725F" w:rsidRPr="004E725F" w:rsidP="004E725F" w14:paraId="2605AD43" w14:textId="2C888939">
      <w:pPr>
        <w:rPr>
          <w:noProof/>
          <w:szCs w:val="24"/>
          <w:lang w:val="lv-LV" w:eastAsia="lv-LV"/>
        </w:rPr>
      </w:pPr>
      <w:r w:rsidRPr="004E725F">
        <w:rPr>
          <w:noProof/>
          <w:szCs w:val="24"/>
          <w:lang w:val="lv-LV" w:eastAsia="lv-LV"/>
        </w:rPr>
        <w:t xml:space="preserve">Ņemot vērā Jūsu ieteikumu, apsvērsim priekšlikumu šīs vēstules </w:t>
      </w:r>
      <w:r w:rsidR="00A276EF">
        <w:rPr>
          <w:noProof/>
          <w:szCs w:val="24"/>
          <w:lang w:val="lv-LV" w:eastAsia="lv-LV"/>
        </w:rPr>
        <w:t xml:space="preserve">ievadā </w:t>
      </w:r>
      <w:r w:rsidRPr="004E725F">
        <w:rPr>
          <w:noProof/>
          <w:szCs w:val="24"/>
          <w:lang w:val="lv-LV" w:eastAsia="lv-LV"/>
        </w:rPr>
        <w:t>minētā Meliorācijas attīstības fonda izveidē kā vienu no finansējuma avotiem ieviest un novirzīt ienākumus no palielināta nekustāmā īpašuma nodokļa, bet darām zināmu, ka nodoklis saskaņā ar likuma “Par nodokļiem un nodevām” 1.panta pirmās daļas 1.punktu ir ar likumu noteikts obligāts periodisks vai vienreizējs maksājums valsts budžeta vai pašvaldību budžetu ieņēmumu nodrošināšanai un valsts funkciju un pašvaldību funkciju finansēšanai, tādēļ nav laba prakse to piemērot sodīšanas nolūkā.</w:t>
      </w:r>
    </w:p>
    <w:p w:rsidR="004E725F" w:rsidRPr="004E725F" w:rsidP="004E725F" w14:paraId="42D4989D" w14:textId="77777777">
      <w:pPr>
        <w:rPr>
          <w:noProof/>
          <w:szCs w:val="24"/>
          <w:lang w:val="lv-LV" w:eastAsia="lv-LV"/>
        </w:rPr>
      </w:pPr>
      <w:r w:rsidRPr="004E725F">
        <w:rPr>
          <w:noProof/>
          <w:szCs w:val="24"/>
          <w:lang w:val="lv-LV" w:eastAsia="lv-LV"/>
        </w:rPr>
        <w:t>Jāatzīmē ka Zemkopības ministrijas agrākie rosinājumi piemērot līdzīgu risinājumu polderu platību apsaimniekošanā netika atbalstīti.</w:t>
      </w:r>
    </w:p>
    <w:p w:rsidR="00DF3C39" w:rsidRPr="004E725F" w:rsidP="00DF3C39" w14:paraId="075C9723" w14:textId="5AFDB19E">
      <w:pPr>
        <w:rPr>
          <w:noProof/>
          <w:szCs w:val="24"/>
          <w:lang w:val="lv-LV" w:eastAsia="lv-LV"/>
        </w:rPr>
      </w:pPr>
      <w:r w:rsidRPr="004E725F">
        <w:rPr>
          <w:noProof/>
          <w:szCs w:val="24"/>
          <w:lang w:val="lv-LV" w:eastAsia="lv-LV"/>
        </w:rPr>
        <w:t xml:space="preserve">Informējam, ka jau šobrīd prasības par meliorācijas sistēmu kopšanu un uzturēšanu ir noteiktas kā vienas no laba lauksaimniecības un vides stāvokļa nosacījumiem (turpmāk -LLVN). Šīs prasības ir jāievēro lauksaimniekiem, kuri apsaimnieko lauksaimniecības zemi un pretendē uz ES tiešajiem maksājumiem un Lauku attīstības programmas platību maksājumiem. </w:t>
      </w:r>
      <w:r>
        <w:rPr>
          <w:noProof/>
          <w:szCs w:val="24"/>
          <w:lang w:val="lv-LV" w:eastAsia="lv-LV"/>
        </w:rPr>
        <w:t xml:space="preserve"> No </w:t>
      </w:r>
      <w:r w:rsidRPr="004E725F">
        <w:rPr>
          <w:noProof/>
          <w:szCs w:val="24"/>
          <w:lang w:val="lv-LV" w:eastAsia="lv-LV"/>
        </w:rPr>
        <w:t>Ministru kabineta 2015. gada 10. marta noteikum</w:t>
      </w:r>
      <w:r>
        <w:rPr>
          <w:noProof/>
          <w:szCs w:val="24"/>
          <w:lang w:val="lv-LV" w:eastAsia="lv-LV"/>
        </w:rPr>
        <w:t>u</w:t>
      </w:r>
      <w:r w:rsidRPr="004E725F">
        <w:rPr>
          <w:noProof/>
          <w:szCs w:val="24"/>
          <w:lang w:val="lv-LV" w:eastAsia="lv-LV"/>
        </w:rPr>
        <w:t xml:space="preserve"> Nr.126 “Tiešo maksājumu piešķiršanas kārtība lauksaimniekiem” 76.5. apakšpunkt</w:t>
      </w:r>
      <w:r>
        <w:rPr>
          <w:noProof/>
          <w:szCs w:val="24"/>
          <w:lang w:val="lv-LV" w:eastAsia="lv-LV"/>
        </w:rPr>
        <w:t xml:space="preserve">a izriet pienākums lauksaimniekam </w:t>
      </w:r>
      <w:r w:rsidRPr="004E725F">
        <w:rPr>
          <w:noProof/>
          <w:szCs w:val="24"/>
          <w:lang w:val="lv-LV" w:eastAsia="lv-LV"/>
        </w:rPr>
        <w:t>lauksaimniecības zemē</w:t>
      </w:r>
      <w:r>
        <w:rPr>
          <w:noProof/>
          <w:szCs w:val="24"/>
          <w:lang w:val="lv-LV" w:eastAsia="lv-LV"/>
        </w:rPr>
        <w:t xml:space="preserve"> sa</w:t>
      </w:r>
      <w:r w:rsidRPr="004E725F">
        <w:rPr>
          <w:noProof/>
          <w:szCs w:val="24"/>
          <w:lang w:val="lv-LV" w:eastAsia="lv-LV"/>
        </w:rPr>
        <w:t>kop</w:t>
      </w:r>
      <w:r>
        <w:rPr>
          <w:noProof/>
          <w:szCs w:val="24"/>
          <w:lang w:val="lv-LV" w:eastAsia="lv-LV"/>
        </w:rPr>
        <w:t>t</w:t>
      </w:r>
      <w:r w:rsidRPr="004E725F">
        <w:rPr>
          <w:noProof/>
          <w:szCs w:val="24"/>
          <w:lang w:val="lv-LV" w:eastAsia="lv-LV"/>
        </w:rPr>
        <w:t xml:space="preserve"> savā atbildībā esoš</w:t>
      </w:r>
      <w:r>
        <w:rPr>
          <w:noProof/>
          <w:szCs w:val="24"/>
          <w:lang w:val="lv-LV" w:eastAsia="lv-LV"/>
        </w:rPr>
        <w:t>ās</w:t>
      </w:r>
      <w:r w:rsidRPr="004E725F">
        <w:rPr>
          <w:noProof/>
          <w:szCs w:val="24"/>
          <w:lang w:val="lv-LV" w:eastAsia="lv-LV"/>
        </w:rPr>
        <w:t xml:space="preserve"> meliorācijas sistēm</w:t>
      </w:r>
      <w:r>
        <w:rPr>
          <w:noProof/>
          <w:szCs w:val="24"/>
          <w:lang w:val="lv-LV" w:eastAsia="lv-LV"/>
        </w:rPr>
        <w:t>as</w:t>
      </w:r>
      <w:r w:rsidRPr="004E725F">
        <w:rPr>
          <w:noProof/>
          <w:szCs w:val="24"/>
          <w:lang w:val="lv-LV" w:eastAsia="lv-LV"/>
        </w:rPr>
        <w:t>, nodrošinot t</w:t>
      </w:r>
      <w:r>
        <w:rPr>
          <w:noProof/>
          <w:szCs w:val="24"/>
          <w:lang w:val="lv-LV" w:eastAsia="lv-LV"/>
        </w:rPr>
        <w:t>o</w:t>
      </w:r>
      <w:r w:rsidRPr="004E725F">
        <w:rPr>
          <w:noProof/>
          <w:szCs w:val="24"/>
          <w:lang w:val="lv-LV" w:eastAsia="lv-LV"/>
        </w:rPr>
        <w:t xml:space="preserve"> darbību, saglabāšanu un zemes mitruma režīma regulēšanu:</w:t>
      </w:r>
    </w:p>
    <w:p w:rsidR="00DF3C39" w:rsidRPr="004E725F" w:rsidP="00DF3C39" w14:paraId="061EBE6F" w14:textId="321C1B06">
      <w:pPr>
        <w:rPr>
          <w:noProof/>
          <w:szCs w:val="24"/>
          <w:lang w:val="lv-LV" w:eastAsia="lv-LV"/>
        </w:rPr>
      </w:pPr>
      <w:r>
        <w:rPr>
          <w:noProof/>
          <w:szCs w:val="24"/>
          <w:lang w:val="lv-LV" w:eastAsia="lv-LV"/>
        </w:rPr>
        <w:t>-</w:t>
      </w:r>
      <w:r w:rsidRPr="004E725F">
        <w:rPr>
          <w:noProof/>
          <w:szCs w:val="24"/>
          <w:lang w:val="lv-LV" w:eastAsia="lv-LV"/>
        </w:rPr>
        <w:t xml:space="preserve"> ūdensnoteku un novadgrāvju gultnēs vismaz viena metra platumā novāc</w:t>
      </w:r>
      <w:r>
        <w:rPr>
          <w:noProof/>
          <w:szCs w:val="24"/>
          <w:lang w:val="lv-LV" w:eastAsia="lv-LV"/>
        </w:rPr>
        <w:t>ot</w:t>
      </w:r>
      <w:r w:rsidRPr="004E725F">
        <w:rPr>
          <w:noProof/>
          <w:szCs w:val="24"/>
          <w:lang w:val="lv-LV" w:eastAsia="lv-LV"/>
        </w:rPr>
        <w:t xml:space="preserve"> kokus un krūmus, to atvases nopļauj</w:t>
      </w:r>
      <w:r>
        <w:rPr>
          <w:noProof/>
          <w:szCs w:val="24"/>
          <w:lang w:val="lv-LV" w:eastAsia="lv-LV"/>
        </w:rPr>
        <w:t>ot</w:t>
      </w:r>
      <w:r w:rsidRPr="004E725F">
        <w:rPr>
          <w:noProof/>
          <w:szCs w:val="24"/>
          <w:lang w:val="lv-LV" w:eastAsia="lv-LV"/>
        </w:rPr>
        <w:t xml:space="preserve"> vismaz vienu reizi divos gados, izvāc</w:t>
      </w:r>
      <w:r>
        <w:rPr>
          <w:noProof/>
          <w:szCs w:val="24"/>
          <w:lang w:val="lv-LV" w:eastAsia="lv-LV"/>
        </w:rPr>
        <w:t>ot</w:t>
      </w:r>
      <w:r w:rsidRPr="004E725F">
        <w:rPr>
          <w:noProof/>
          <w:szCs w:val="24"/>
          <w:lang w:val="lv-LV" w:eastAsia="lv-LV"/>
        </w:rPr>
        <w:t xml:space="preserve"> grunts ieskalojumus, sadzīves atkritumus, kritušus kokus, piesērējumus un bebru aizsprostojumus, kas traucē ūdens plūsmu gultnē;</w:t>
      </w:r>
    </w:p>
    <w:p w:rsidR="004E725F" w:rsidRPr="004E725F" w:rsidP="00DF3C39" w14:paraId="25D7C024" w14:textId="1E9CB99F">
      <w:pPr>
        <w:rPr>
          <w:noProof/>
          <w:szCs w:val="24"/>
          <w:lang w:val="lv-LV" w:eastAsia="lv-LV"/>
        </w:rPr>
      </w:pPr>
      <w:r>
        <w:rPr>
          <w:noProof/>
          <w:szCs w:val="24"/>
          <w:lang w:val="lv-LV" w:eastAsia="lv-LV"/>
        </w:rPr>
        <w:t>-</w:t>
      </w:r>
      <w:r w:rsidRPr="004E725F">
        <w:rPr>
          <w:noProof/>
          <w:szCs w:val="24"/>
          <w:lang w:val="lv-LV" w:eastAsia="lv-LV"/>
        </w:rPr>
        <w:t xml:space="preserve"> drenu sistēmā</w:t>
      </w:r>
      <w:r>
        <w:rPr>
          <w:noProof/>
          <w:szCs w:val="24"/>
          <w:lang w:val="lv-LV" w:eastAsia="lv-LV"/>
        </w:rPr>
        <w:t>s</w:t>
      </w:r>
      <w:r w:rsidRPr="004E725F">
        <w:rPr>
          <w:noProof/>
          <w:szCs w:val="24"/>
          <w:lang w:val="lv-LV" w:eastAsia="lv-LV"/>
        </w:rPr>
        <w:t xml:space="preserve"> drenu akas nosedz</w:t>
      </w:r>
      <w:r>
        <w:rPr>
          <w:noProof/>
          <w:szCs w:val="24"/>
          <w:lang w:val="lv-LV" w:eastAsia="lv-LV"/>
        </w:rPr>
        <w:t>ot</w:t>
      </w:r>
      <w:r w:rsidRPr="004E725F">
        <w:rPr>
          <w:noProof/>
          <w:szCs w:val="24"/>
          <w:lang w:val="lv-LV" w:eastAsia="lv-LV"/>
        </w:rPr>
        <w:t xml:space="preserve"> ar vāku, iztīr</w:t>
      </w:r>
      <w:r>
        <w:rPr>
          <w:noProof/>
          <w:szCs w:val="24"/>
          <w:lang w:val="lv-LV" w:eastAsia="lv-LV"/>
        </w:rPr>
        <w:t>ot</w:t>
      </w:r>
      <w:r w:rsidRPr="004E725F">
        <w:rPr>
          <w:noProof/>
          <w:szCs w:val="24"/>
          <w:lang w:val="lv-LV" w:eastAsia="lv-LV"/>
        </w:rPr>
        <w:t xml:space="preserve"> drenu akas piesērējumu, kā arī drenu kolektoru iztekas no sanesumiem un novāc</w:t>
      </w:r>
      <w:r>
        <w:rPr>
          <w:noProof/>
          <w:szCs w:val="24"/>
          <w:lang w:val="lv-LV" w:eastAsia="lv-LV"/>
        </w:rPr>
        <w:t>ot</w:t>
      </w:r>
      <w:r w:rsidRPr="004E725F">
        <w:rPr>
          <w:noProof/>
          <w:szCs w:val="24"/>
          <w:lang w:val="lv-LV" w:eastAsia="lv-LV"/>
        </w:rPr>
        <w:t xml:space="preserve"> kokaugus ap drenu kolektoru iztekām vismaz piecu metru attālumā uz katru pusi no iztekas</w:t>
      </w:r>
      <w:r>
        <w:rPr>
          <w:noProof/>
          <w:szCs w:val="24"/>
          <w:lang w:val="lv-LV" w:eastAsia="lv-LV"/>
        </w:rPr>
        <w:t xml:space="preserve">. </w:t>
      </w:r>
    </w:p>
    <w:p w:rsidR="004E725F" w:rsidRPr="004E725F" w:rsidP="004E725F" w14:paraId="60F2E690" w14:textId="77777777">
      <w:pPr>
        <w:rPr>
          <w:noProof/>
          <w:szCs w:val="24"/>
          <w:lang w:val="lv-LV" w:eastAsia="lv-LV"/>
        </w:rPr>
      </w:pPr>
      <w:r w:rsidRPr="004E725F">
        <w:rPr>
          <w:noProof/>
          <w:szCs w:val="24"/>
          <w:lang w:val="lv-LV" w:eastAsia="lv-LV"/>
        </w:rPr>
        <w:t>Ja lauksaimnieks neievēro šīs prasības, tam tiek piemērots atbalsta samazinājums, kas nopietnu un atkārtotu pārkāpumu gadījumā var rezultēties maksājumu nepiešķiršanā.</w:t>
      </w:r>
    </w:p>
    <w:p w:rsidR="004E725F" w:rsidRPr="004E725F" w:rsidP="004E725F" w14:paraId="61841912" w14:textId="0D5CC8B6">
      <w:pPr>
        <w:rPr>
          <w:noProof/>
          <w:szCs w:val="24"/>
          <w:lang w:val="lv-LV" w:eastAsia="lv-LV"/>
        </w:rPr>
      </w:pPr>
      <w:r w:rsidRPr="004E725F">
        <w:rPr>
          <w:noProof/>
          <w:szCs w:val="24"/>
          <w:lang w:val="lv-LV" w:eastAsia="lv-LV"/>
        </w:rPr>
        <w:t>Ar sapratni pieņemam Jūsu priekšlikumu par konsultatīvās padomes zemes meliorācijas jautājumos darbības atjaunošanu, vienlaikus norādām, ka šobrīd Zemkopības ministrijā izveidotajās darba grupās par stratēģiska dokumenta izstrādi un apdzīvotu vietu meliorāciju ir pārstāvēts plašs valsts, sabiedrisko organizāciju un meliorācijas ekspertu loks</w:t>
      </w:r>
      <w:r w:rsidR="00A276EF">
        <w:rPr>
          <w:noProof/>
          <w:szCs w:val="24"/>
          <w:lang w:val="lv-LV" w:eastAsia="lv-LV"/>
        </w:rPr>
        <w:t>,</w:t>
      </w:r>
      <w:r w:rsidRPr="004E725F">
        <w:rPr>
          <w:noProof/>
          <w:szCs w:val="24"/>
          <w:lang w:val="lv-LV" w:eastAsia="lv-LV"/>
        </w:rPr>
        <w:t xml:space="preserve"> t.sk Latvijas </w:t>
      </w:r>
      <w:r w:rsidRPr="004E725F">
        <w:rPr>
          <w:noProof/>
          <w:szCs w:val="24"/>
          <w:lang w:val="lv-LV" w:eastAsia="lv-LV"/>
        </w:rPr>
        <w:t>Melioratoru biedrības pārstāvji. Konsultatīvās padomes darbu plānots atjaunot pēc šo darba grupu izvirzīto mērķu sasniegšanas.</w:t>
      </w:r>
    </w:p>
    <w:p w:rsidR="004E725F" w:rsidRPr="004E725F" w:rsidP="004E725F" w14:paraId="23C2C3EC" w14:textId="62CBC1B4">
      <w:pPr>
        <w:rPr>
          <w:noProof/>
          <w:szCs w:val="24"/>
          <w:lang w:val="lv-LV" w:eastAsia="lv-LV"/>
        </w:rPr>
      </w:pPr>
      <w:r w:rsidRPr="004E725F">
        <w:rPr>
          <w:noProof/>
          <w:szCs w:val="24"/>
          <w:lang w:val="lv-LV" w:eastAsia="lv-LV"/>
        </w:rPr>
        <w:t xml:space="preserve">Paldies par Jūsu priekšlikumiem </w:t>
      </w:r>
      <w:r w:rsidR="00A276EF">
        <w:rPr>
          <w:noProof/>
          <w:szCs w:val="24"/>
          <w:lang w:val="lv-LV" w:eastAsia="lv-LV"/>
        </w:rPr>
        <w:t>nozares</w:t>
      </w:r>
      <w:r w:rsidRPr="004E725F">
        <w:rPr>
          <w:noProof/>
          <w:szCs w:val="24"/>
          <w:lang w:val="lv-LV" w:eastAsia="lv-LV"/>
        </w:rPr>
        <w:t xml:space="preserve"> jautājumu risināšanā. Labprāt uzklausīsim Latvijas Melioratoru biedrība</w:t>
      </w:r>
      <w:r w:rsidR="00A276EF">
        <w:rPr>
          <w:noProof/>
          <w:szCs w:val="24"/>
          <w:lang w:val="lv-LV" w:eastAsia="lv-LV"/>
        </w:rPr>
        <w:t>s</w:t>
      </w:r>
      <w:r w:rsidRPr="004E725F">
        <w:rPr>
          <w:noProof/>
          <w:szCs w:val="24"/>
          <w:lang w:val="lv-LV" w:eastAsia="lv-LV"/>
        </w:rPr>
        <w:t xml:space="preserve"> priekšlikumus arī turpmāk.</w:t>
      </w:r>
    </w:p>
    <w:p w:rsidR="004E725F" w:rsidRPr="004E725F" w:rsidP="004E725F" w14:paraId="01E2FC4C" w14:textId="77777777">
      <w:pPr>
        <w:rPr>
          <w:noProof/>
          <w:szCs w:val="24"/>
          <w:lang w:val="lv-LV" w:eastAsia="lv-LV"/>
        </w:rPr>
      </w:pPr>
    </w:p>
    <w:p w:rsidR="004E725F" w:rsidP="004E725F" w14:paraId="7BF58EA0" w14:textId="77777777">
      <w:pPr>
        <w:rPr>
          <w:noProof/>
          <w:szCs w:val="24"/>
          <w:lang w:val="lv-LV" w:eastAsia="lv-LV"/>
        </w:rPr>
      </w:pPr>
    </w:p>
    <w:p w:rsidR="004E725F" w:rsidP="004E725F" w14:paraId="397E922F" w14:textId="77777777">
      <w:pPr>
        <w:rPr>
          <w:noProof/>
          <w:szCs w:val="24"/>
          <w:lang w:val="lv-LV" w:eastAsia="lv-LV"/>
        </w:rPr>
      </w:pPr>
    </w:p>
    <w:p w:rsidR="004E725F" w:rsidRPr="004E725F" w:rsidP="004E725F" w14:paraId="47BADC8E" w14:textId="77777777">
      <w:pPr>
        <w:rPr>
          <w:noProof/>
          <w:szCs w:val="24"/>
          <w:lang w:val="lv-LV" w:eastAsia="lv-LV"/>
        </w:rPr>
      </w:pPr>
    </w:p>
    <w:p w:rsidR="004E725F" w:rsidRPr="004E725F" w:rsidP="005F7717" w14:paraId="166D97FA" w14:textId="5DCE16C4">
      <w:pPr>
        <w:ind w:firstLine="0"/>
        <w:rPr>
          <w:noProof/>
          <w:szCs w:val="24"/>
          <w:lang w:val="lv-LV" w:eastAsia="lv-LV"/>
        </w:rPr>
      </w:pPr>
      <w:r w:rsidRPr="004E725F">
        <w:rPr>
          <w:noProof/>
          <w:szCs w:val="24"/>
          <w:lang w:val="lv-LV" w:eastAsia="lv-LV"/>
        </w:rPr>
        <w:t>Valsts sekretāre</w:t>
      </w:r>
      <w:r w:rsidRPr="004E725F">
        <w:rPr>
          <w:noProof/>
          <w:szCs w:val="24"/>
          <w:lang w:val="lv-LV" w:eastAsia="lv-LV"/>
        </w:rPr>
        <w:tab/>
      </w:r>
      <w:r w:rsidR="005F7717">
        <w:rPr>
          <w:noProof/>
          <w:szCs w:val="24"/>
          <w:lang w:val="lv-LV" w:eastAsia="lv-LV"/>
        </w:rPr>
        <w:tab/>
      </w:r>
      <w:r w:rsidR="005F7717">
        <w:rPr>
          <w:noProof/>
          <w:szCs w:val="24"/>
          <w:lang w:val="lv-LV" w:eastAsia="lv-LV"/>
        </w:rPr>
        <w:tab/>
      </w:r>
      <w:r w:rsidR="005F7717">
        <w:rPr>
          <w:noProof/>
          <w:szCs w:val="24"/>
          <w:lang w:val="lv-LV" w:eastAsia="lv-LV"/>
        </w:rPr>
        <w:tab/>
      </w:r>
      <w:r w:rsidRPr="004E725F">
        <w:rPr>
          <w:noProof/>
          <w:szCs w:val="24"/>
          <w:lang w:val="lv-LV" w:eastAsia="lv-LV"/>
        </w:rPr>
        <w:tab/>
      </w:r>
      <w:r w:rsidRPr="004E725F">
        <w:rPr>
          <w:noProof/>
          <w:szCs w:val="24"/>
          <w:lang w:val="lv-LV" w:eastAsia="lv-LV"/>
        </w:rPr>
        <w:tab/>
      </w:r>
      <w:r w:rsidRPr="004E725F">
        <w:rPr>
          <w:noProof/>
          <w:szCs w:val="24"/>
          <w:lang w:val="lv-LV" w:eastAsia="lv-LV"/>
        </w:rPr>
        <w:tab/>
      </w:r>
      <w:r w:rsidRPr="004E725F">
        <w:rPr>
          <w:noProof/>
          <w:szCs w:val="24"/>
          <w:lang w:val="lv-LV" w:eastAsia="lv-LV"/>
        </w:rPr>
        <w:tab/>
      </w:r>
      <w:r w:rsidRPr="004E725F">
        <w:rPr>
          <w:noProof/>
          <w:szCs w:val="24"/>
          <w:lang w:val="lv-LV" w:eastAsia="lv-LV"/>
        </w:rPr>
        <w:tab/>
        <w:t>D.Lucaua</w:t>
      </w:r>
    </w:p>
    <w:p w:rsidR="004E725F" w:rsidP="004E725F" w14:paraId="056C0201" w14:textId="77777777">
      <w:pPr>
        <w:rPr>
          <w:noProof/>
          <w:szCs w:val="24"/>
          <w:lang w:val="lv-LV" w:eastAsia="lv-LV"/>
        </w:rPr>
      </w:pPr>
    </w:p>
    <w:p w:rsidR="004E725F" w:rsidP="004E725F" w14:paraId="66AC185D" w14:textId="77777777">
      <w:pPr>
        <w:rPr>
          <w:noProof/>
          <w:szCs w:val="24"/>
          <w:lang w:val="lv-LV" w:eastAsia="lv-LV"/>
        </w:rPr>
      </w:pPr>
    </w:p>
    <w:p w:rsidR="004E725F" w:rsidP="004E725F" w14:paraId="732F8D63" w14:textId="77777777">
      <w:pPr>
        <w:rPr>
          <w:noProof/>
          <w:szCs w:val="24"/>
          <w:lang w:val="lv-LV" w:eastAsia="lv-LV"/>
        </w:rPr>
      </w:pPr>
    </w:p>
    <w:p w:rsidR="004E725F" w:rsidRPr="004E725F" w:rsidP="004E725F" w14:paraId="024FF47F" w14:textId="77777777">
      <w:pPr>
        <w:rPr>
          <w:noProof/>
          <w:szCs w:val="24"/>
          <w:lang w:val="lv-LV" w:eastAsia="lv-LV"/>
        </w:rPr>
      </w:pPr>
    </w:p>
    <w:p w:rsidR="004E725F" w:rsidP="004E725F" w14:paraId="1B958BF9" w14:textId="77777777">
      <w:pPr>
        <w:rPr>
          <w:noProof/>
          <w:sz w:val="20"/>
          <w:szCs w:val="20"/>
          <w:lang w:val="lv-LV" w:eastAsia="lv-LV"/>
        </w:rPr>
      </w:pPr>
    </w:p>
    <w:p w:rsidR="005F7717" w:rsidP="004E725F" w14:paraId="77B2FEE7" w14:textId="77777777">
      <w:pPr>
        <w:rPr>
          <w:noProof/>
          <w:sz w:val="20"/>
          <w:szCs w:val="20"/>
          <w:lang w:val="lv-LV" w:eastAsia="lv-LV"/>
        </w:rPr>
      </w:pPr>
    </w:p>
    <w:p w:rsidR="005F7717" w:rsidP="004E725F" w14:paraId="28E9DCDB" w14:textId="77777777">
      <w:pPr>
        <w:rPr>
          <w:noProof/>
          <w:sz w:val="20"/>
          <w:szCs w:val="20"/>
          <w:lang w:val="lv-LV" w:eastAsia="lv-LV"/>
        </w:rPr>
      </w:pPr>
    </w:p>
    <w:p w:rsidR="005F7717" w:rsidP="004E725F" w14:paraId="2ECA77A1" w14:textId="77777777">
      <w:pPr>
        <w:rPr>
          <w:noProof/>
          <w:sz w:val="20"/>
          <w:szCs w:val="20"/>
          <w:lang w:val="lv-LV" w:eastAsia="lv-LV"/>
        </w:rPr>
      </w:pPr>
    </w:p>
    <w:p w:rsidR="005F7717" w:rsidP="004E725F" w14:paraId="285C2C90" w14:textId="77777777">
      <w:pPr>
        <w:rPr>
          <w:noProof/>
          <w:sz w:val="20"/>
          <w:szCs w:val="20"/>
          <w:lang w:val="lv-LV" w:eastAsia="lv-LV"/>
        </w:rPr>
      </w:pPr>
    </w:p>
    <w:p w:rsidR="005F7717" w:rsidP="004E725F" w14:paraId="73265851" w14:textId="77777777">
      <w:pPr>
        <w:rPr>
          <w:noProof/>
          <w:sz w:val="20"/>
          <w:szCs w:val="20"/>
          <w:lang w:val="lv-LV" w:eastAsia="lv-LV"/>
        </w:rPr>
      </w:pPr>
    </w:p>
    <w:p w:rsidR="005F7717" w:rsidP="004E725F" w14:paraId="21170A9F" w14:textId="77777777">
      <w:pPr>
        <w:rPr>
          <w:noProof/>
          <w:sz w:val="20"/>
          <w:szCs w:val="20"/>
          <w:lang w:val="lv-LV" w:eastAsia="lv-LV"/>
        </w:rPr>
      </w:pPr>
    </w:p>
    <w:p w:rsidR="005F7717" w:rsidP="004E725F" w14:paraId="0BFF3E85" w14:textId="77777777">
      <w:pPr>
        <w:rPr>
          <w:noProof/>
          <w:sz w:val="20"/>
          <w:szCs w:val="20"/>
          <w:lang w:val="lv-LV" w:eastAsia="lv-LV"/>
        </w:rPr>
      </w:pPr>
    </w:p>
    <w:p w:rsidR="005F7717" w:rsidP="004E725F" w14:paraId="5A0E361A" w14:textId="77777777">
      <w:pPr>
        <w:rPr>
          <w:noProof/>
          <w:sz w:val="20"/>
          <w:szCs w:val="20"/>
          <w:lang w:val="lv-LV" w:eastAsia="lv-LV"/>
        </w:rPr>
      </w:pPr>
    </w:p>
    <w:p w:rsidR="005F7717" w:rsidP="004E725F" w14:paraId="6E3E6FB7" w14:textId="77777777">
      <w:pPr>
        <w:rPr>
          <w:noProof/>
          <w:sz w:val="20"/>
          <w:szCs w:val="20"/>
          <w:lang w:val="lv-LV" w:eastAsia="lv-LV"/>
        </w:rPr>
      </w:pPr>
    </w:p>
    <w:p w:rsidR="005F7717" w:rsidP="004E725F" w14:paraId="6C50AB60" w14:textId="77777777">
      <w:pPr>
        <w:rPr>
          <w:noProof/>
          <w:sz w:val="20"/>
          <w:szCs w:val="20"/>
          <w:lang w:val="lv-LV" w:eastAsia="lv-LV"/>
        </w:rPr>
      </w:pPr>
    </w:p>
    <w:p w:rsidR="005F7717" w:rsidP="004E725F" w14:paraId="6DCB714A" w14:textId="77777777">
      <w:pPr>
        <w:rPr>
          <w:noProof/>
          <w:sz w:val="20"/>
          <w:szCs w:val="20"/>
          <w:lang w:val="lv-LV" w:eastAsia="lv-LV"/>
        </w:rPr>
      </w:pPr>
    </w:p>
    <w:p w:rsidR="005F7717" w:rsidP="004E725F" w14:paraId="30C627FC" w14:textId="77777777">
      <w:pPr>
        <w:rPr>
          <w:noProof/>
          <w:sz w:val="20"/>
          <w:szCs w:val="20"/>
          <w:lang w:val="lv-LV" w:eastAsia="lv-LV"/>
        </w:rPr>
      </w:pPr>
    </w:p>
    <w:p w:rsidR="005F7717" w:rsidP="004E725F" w14:paraId="3CF8AB04" w14:textId="77777777">
      <w:pPr>
        <w:rPr>
          <w:noProof/>
          <w:sz w:val="20"/>
          <w:szCs w:val="20"/>
          <w:lang w:val="lv-LV" w:eastAsia="lv-LV"/>
        </w:rPr>
      </w:pPr>
    </w:p>
    <w:p w:rsidR="005F7717" w:rsidP="004E725F" w14:paraId="2AC58256" w14:textId="77777777">
      <w:pPr>
        <w:rPr>
          <w:noProof/>
          <w:sz w:val="20"/>
          <w:szCs w:val="20"/>
          <w:lang w:val="lv-LV" w:eastAsia="lv-LV"/>
        </w:rPr>
      </w:pPr>
    </w:p>
    <w:p w:rsidR="005F7717" w:rsidP="004E725F" w14:paraId="7625D476" w14:textId="77777777">
      <w:pPr>
        <w:rPr>
          <w:noProof/>
          <w:sz w:val="20"/>
          <w:szCs w:val="20"/>
          <w:lang w:val="lv-LV" w:eastAsia="lv-LV"/>
        </w:rPr>
      </w:pPr>
    </w:p>
    <w:p w:rsidR="005F7717" w:rsidP="004E725F" w14:paraId="2454AE0D" w14:textId="77777777">
      <w:pPr>
        <w:rPr>
          <w:noProof/>
          <w:sz w:val="20"/>
          <w:szCs w:val="20"/>
          <w:lang w:val="lv-LV" w:eastAsia="lv-LV"/>
        </w:rPr>
      </w:pPr>
    </w:p>
    <w:p w:rsidR="005F7717" w:rsidP="004E725F" w14:paraId="5FA5F3E0" w14:textId="77777777">
      <w:pPr>
        <w:rPr>
          <w:noProof/>
          <w:sz w:val="20"/>
          <w:szCs w:val="20"/>
          <w:lang w:val="lv-LV" w:eastAsia="lv-LV"/>
        </w:rPr>
      </w:pPr>
    </w:p>
    <w:p w:rsidR="005F7717" w:rsidP="004E725F" w14:paraId="7C89B954" w14:textId="77777777">
      <w:pPr>
        <w:rPr>
          <w:noProof/>
          <w:sz w:val="20"/>
          <w:szCs w:val="20"/>
          <w:lang w:val="lv-LV" w:eastAsia="lv-LV"/>
        </w:rPr>
      </w:pPr>
    </w:p>
    <w:p w:rsidR="005F7717" w:rsidP="004E725F" w14:paraId="4A97CD5E" w14:textId="77777777">
      <w:pPr>
        <w:rPr>
          <w:noProof/>
          <w:sz w:val="20"/>
          <w:szCs w:val="20"/>
          <w:lang w:val="lv-LV" w:eastAsia="lv-LV"/>
        </w:rPr>
      </w:pPr>
    </w:p>
    <w:p w:rsidR="005F7717" w:rsidP="004E725F" w14:paraId="3CAE60BF" w14:textId="77777777">
      <w:pPr>
        <w:rPr>
          <w:noProof/>
          <w:sz w:val="20"/>
          <w:szCs w:val="20"/>
          <w:lang w:val="lv-LV" w:eastAsia="lv-LV"/>
        </w:rPr>
      </w:pPr>
    </w:p>
    <w:p w:rsidR="005F7717" w:rsidP="004E725F" w14:paraId="08C251D0" w14:textId="77777777">
      <w:pPr>
        <w:rPr>
          <w:noProof/>
          <w:sz w:val="20"/>
          <w:szCs w:val="20"/>
          <w:lang w:val="lv-LV" w:eastAsia="lv-LV"/>
        </w:rPr>
      </w:pPr>
    </w:p>
    <w:p w:rsidR="005F7717" w:rsidP="004E725F" w14:paraId="21C9448C" w14:textId="77777777">
      <w:pPr>
        <w:rPr>
          <w:noProof/>
          <w:sz w:val="20"/>
          <w:szCs w:val="20"/>
          <w:lang w:val="lv-LV" w:eastAsia="lv-LV"/>
        </w:rPr>
      </w:pPr>
    </w:p>
    <w:p w:rsidR="005F7717" w:rsidP="004E725F" w14:paraId="41577A3D" w14:textId="77777777">
      <w:pPr>
        <w:rPr>
          <w:noProof/>
          <w:sz w:val="20"/>
          <w:szCs w:val="20"/>
          <w:lang w:val="lv-LV" w:eastAsia="lv-LV"/>
        </w:rPr>
      </w:pPr>
    </w:p>
    <w:p w:rsidR="005F7717" w:rsidP="004E725F" w14:paraId="53F945A8" w14:textId="77777777">
      <w:pPr>
        <w:rPr>
          <w:noProof/>
          <w:sz w:val="20"/>
          <w:szCs w:val="20"/>
          <w:lang w:val="lv-LV" w:eastAsia="lv-LV"/>
        </w:rPr>
      </w:pPr>
    </w:p>
    <w:p w:rsidR="005F7717" w:rsidP="004E725F" w14:paraId="1CF23385" w14:textId="77777777">
      <w:pPr>
        <w:rPr>
          <w:noProof/>
          <w:sz w:val="20"/>
          <w:szCs w:val="20"/>
          <w:lang w:val="lv-LV" w:eastAsia="lv-LV"/>
        </w:rPr>
      </w:pPr>
    </w:p>
    <w:p w:rsidR="005F7717" w:rsidP="004E725F" w14:paraId="12AF47F7" w14:textId="77777777">
      <w:pPr>
        <w:rPr>
          <w:noProof/>
          <w:sz w:val="20"/>
          <w:szCs w:val="20"/>
          <w:lang w:val="lv-LV" w:eastAsia="lv-LV"/>
        </w:rPr>
      </w:pPr>
    </w:p>
    <w:p w:rsidR="005F7717" w:rsidP="004E725F" w14:paraId="69688F9E" w14:textId="77777777">
      <w:pPr>
        <w:rPr>
          <w:noProof/>
          <w:sz w:val="20"/>
          <w:szCs w:val="20"/>
          <w:lang w:val="lv-LV" w:eastAsia="lv-LV"/>
        </w:rPr>
      </w:pPr>
    </w:p>
    <w:p w:rsidR="005F7717" w:rsidP="004E725F" w14:paraId="6B5A85C6" w14:textId="77777777">
      <w:pPr>
        <w:rPr>
          <w:noProof/>
          <w:sz w:val="20"/>
          <w:szCs w:val="20"/>
          <w:lang w:val="lv-LV" w:eastAsia="lv-LV"/>
        </w:rPr>
      </w:pPr>
    </w:p>
    <w:p w:rsidR="005F7717" w:rsidRPr="004E725F" w:rsidP="004E725F" w14:paraId="0ACAF3EB" w14:textId="77777777">
      <w:pPr>
        <w:rPr>
          <w:noProof/>
          <w:sz w:val="20"/>
          <w:szCs w:val="20"/>
          <w:lang w:val="lv-LV" w:eastAsia="lv-LV"/>
        </w:rPr>
      </w:pPr>
      <w:bookmarkStart w:id="0" w:name="_GoBack"/>
      <w:bookmarkEnd w:id="0"/>
    </w:p>
    <w:p w:rsidR="004E725F" w:rsidRPr="004E725F" w:rsidP="005F7717" w14:paraId="53279E5B" w14:textId="77777777">
      <w:pPr>
        <w:ind w:firstLine="0"/>
        <w:rPr>
          <w:noProof/>
          <w:sz w:val="20"/>
          <w:szCs w:val="20"/>
          <w:lang w:val="lv-LV" w:eastAsia="lv-LV"/>
        </w:rPr>
      </w:pPr>
      <w:r w:rsidRPr="004E725F">
        <w:rPr>
          <w:noProof/>
          <w:sz w:val="20"/>
          <w:szCs w:val="20"/>
          <w:lang w:val="lv-LV" w:eastAsia="lv-LV"/>
        </w:rPr>
        <w:t>Pētersons, 67027511</w:t>
      </w:r>
    </w:p>
    <w:p w:rsidR="004E725F" w:rsidP="005F7717" w14:paraId="31F2ED2A" w14:textId="0C88C554">
      <w:pPr>
        <w:ind w:firstLine="0"/>
        <w:rPr>
          <w:noProof/>
          <w:sz w:val="20"/>
          <w:szCs w:val="20"/>
          <w:lang w:val="lv-LV" w:eastAsia="lv-LV"/>
        </w:rPr>
      </w:pPr>
      <w:r>
        <w:fldChar w:fldCharType="begin"/>
      </w:r>
      <w:r>
        <w:instrText xml:space="preserve"> HYPERLINK "mailto:Valdis.Petersons@zm.gov.lv" </w:instrText>
      </w:r>
      <w:r>
        <w:fldChar w:fldCharType="separate"/>
      </w:r>
      <w:r w:rsidRPr="00E74179">
        <w:rPr>
          <w:rStyle w:val="Hyperlink"/>
          <w:noProof/>
          <w:sz w:val="20"/>
          <w:szCs w:val="20"/>
          <w:lang w:val="lv-LV" w:eastAsia="lv-LV"/>
        </w:rPr>
        <w:t>Valdis.Petersons@zm.gov.lv</w:t>
      </w:r>
      <w:r>
        <w:fldChar w:fldCharType="end"/>
      </w:r>
    </w:p>
    <w:p w:rsidR="005F7717" w:rsidP="005F7717" w14:paraId="7606F00B" w14:textId="77777777">
      <w:pPr>
        <w:ind w:firstLine="0"/>
        <w:rPr>
          <w:noProof/>
          <w:sz w:val="20"/>
          <w:szCs w:val="20"/>
          <w:lang w:val="lv-LV" w:eastAsia="lv-LV"/>
        </w:rPr>
      </w:pPr>
    </w:p>
    <w:p w:rsidR="004E725F" w:rsidRPr="004E725F" w:rsidP="005F7717" w14:paraId="2A552C7B" w14:textId="77777777">
      <w:pPr>
        <w:ind w:firstLine="0"/>
        <w:rPr>
          <w:noProof/>
          <w:sz w:val="20"/>
          <w:szCs w:val="20"/>
          <w:lang w:val="lv-LV" w:eastAsia="lv-LV"/>
        </w:rPr>
      </w:pPr>
      <w:r w:rsidRPr="004E725F">
        <w:rPr>
          <w:noProof/>
          <w:sz w:val="20"/>
          <w:szCs w:val="20"/>
          <w:lang w:val="lv-LV" w:eastAsia="lv-LV"/>
        </w:rPr>
        <w:t>Cinkus, 67027558</w:t>
      </w:r>
    </w:p>
    <w:p w:rsidR="00523684" w:rsidP="005F7717" w14:paraId="37E03F54" w14:textId="40AC1119">
      <w:pPr>
        <w:ind w:firstLine="0"/>
        <w:rPr>
          <w:noProof/>
          <w:sz w:val="20"/>
          <w:szCs w:val="20"/>
          <w:lang w:val="lv-LV" w:eastAsia="lv-LV"/>
        </w:rPr>
      </w:pPr>
      <w:r>
        <w:fldChar w:fldCharType="begin"/>
      </w:r>
      <w:r>
        <w:instrText xml:space="preserve"> HYPERLINK "mailto:Kristine.Cinkus@zm.gov.lv" </w:instrText>
      </w:r>
      <w:r>
        <w:fldChar w:fldCharType="separate"/>
      </w:r>
      <w:r w:rsidRPr="00E74179">
        <w:rPr>
          <w:rStyle w:val="Hyperlink"/>
          <w:noProof/>
          <w:sz w:val="20"/>
          <w:szCs w:val="20"/>
          <w:lang w:val="lv-LV" w:eastAsia="lv-LV"/>
        </w:rPr>
        <w:t>Kristine.Cinkus@zm.gov.lv</w:t>
      </w:r>
      <w:r>
        <w:fldChar w:fldCharType="end"/>
      </w:r>
    </w:p>
    <w:p w:rsidR="005F7717" w:rsidRPr="004E725F" w:rsidP="005F7717" w14:paraId="0333CF9C" w14:textId="77777777">
      <w:pPr>
        <w:ind w:firstLine="0"/>
        <w:rPr>
          <w:sz w:val="20"/>
          <w:szCs w:val="20"/>
          <w:lang w:val="lv-LV"/>
        </w:rPr>
      </w:pPr>
    </w:p>
    <w:p w:rsidR="00173FA5" w:rsidP="00523684" w14:paraId="37E03F55" w14:textId="77777777">
      <w:pPr>
        <w:rPr>
          <w:lang w:val="lv-LV"/>
        </w:rPr>
      </w:pPr>
    </w:p>
    <w:p w:rsidR="00523684" w:rsidRPr="00523684" w:rsidP="00523684" w14:paraId="37E03F56" w14:textId="77777777">
      <w:pPr>
        <w:rPr>
          <w:lang w:val="lv-LV"/>
        </w:rPr>
      </w:pPr>
    </w:p>
    <w:p w:rsidR="00523684" w:rsidP="00523684" w14:paraId="37E03F71" w14:textId="77777777">
      <w:pPr>
        <w:rPr>
          <w:lang w:val="lv-LV"/>
        </w:rPr>
      </w:pPr>
    </w:p>
    <w:tbl>
      <w:tblPr>
        <w:tblW w:w="0" w:type="auto"/>
        <w:tblInd w:w="108" w:type="dxa"/>
        <w:tblLook w:val="04A0"/>
      </w:tblPr>
      <w:tblGrid>
        <w:gridCol w:w="8537"/>
      </w:tblGrid>
      <w:tr w14:paraId="37E03F73" w14:textId="77777777" w:rsidTr="00523684">
        <w:tblPrEx>
          <w:tblW w:w="0" w:type="auto"/>
          <w:tblInd w:w="108" w:type="dxa"/>
          <w:tblLook w:val="04A0"/>
        </w:tblPrEx>
        <w:trPr>
          <w:cantSplit/>
          <w:trHeight w:val="503"/>
        </w:trPr>
        <w:tc>
          <w:tcPr>
            <w:tcW w:w="8537" w:type="dxa"/>
          </w:tcPr>
          <w:p w:rsidR="00523684" w:rsidP="00816F71" w14:paraId="37E03F72" w14:textId="77777777">
            <w:pPr>
              <w:pStyle w:val="BodyTextIndent"/>
              <w:ind w:left="0"/>
            </w:pPr>
            <w:r>
              <w:t>ŠIS DOKUMENTS IR ELEKTRONISKI PARAKSTĪTS AR DROŠU ELEKTRONISKO PARAKSTU UN SATUR LAIKA ZĪMOGU</w:t>
            </w:r>
          </w:p>
        </w:tc>
      </w:tr>
    </w:tbl>
    <w:p w:rsidR="00E5653E" w:rsidRPr="00523684" w:rsidP="00173FA5" w14:paraId="37E03F74" w14:textId="77777777">
      <w:pPr>
        <w:ind w:firstLine="0"/>
      </w:pPr>
    </w:p>
    <w:sectPr w:rsidSect="008C66E9">
      <w:headerReference w:type="first" r:id="rId4"/>
      <w:type w:val="continuous"/>
      <w:pgSz w:w="11920" w:h="16840"/>
      <w:pgMar w:top="1134" w:right="851" w:bottom="1134" w:left="1701" w:header="3686"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etterica Baltic">
    <w:altName w:val="Arial"/>
    <w:charset w:val="BA"/>
    <w:family w:val="swiss"/>
    <w:pitch w:val="variable"/>
    <w:sig w:usb0="00000001" w:usb1="00000048" w:usb2="00000000" w:usb3="00000000" w:csb0="00000197"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6E9" w:rsidRPr="00FF0532" w:rsidP="00483A7F" w14:paraId="37E03F75" w14:textId="77777777">
    <w:pPr>
      <w:pStyle w:val="Header"/>
      <w:ind w:firstLine="0"/>
      <w:jc w:val="center"/>
      <w:rPr>
        <w:lang w:val="lv-LV"/>
      </w:rPr>
    </w:pPr>
    <w:r w:rsidRPr="00FF0532">
      <w:rPr>
        <w:rFonts w:ascii="Letterica Baltic" w:hAnsi="Letterica Baltic"/>
        <w:sz w:val="18"/>
        <w:lang w:val="lv-LV"/>
      </w:rPr>
      <w:t>Rīgā</w:t>
    </w:r>
    <w:r w:rsidRPr="00FF0532">
      <w:rPr>
        <w:noProof/>
        <w:lang w:val="lv-LV" w:eastAsia="lv-LV"/>
      </w:rPr>
      <w:drawing>
        <wp:anchor distT="0" distB="0" distL="114300" distR="114300" simplePos="0" relativeHeight="251658240"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989435" name="Picture 40"/>
                  <pic:cNvPicPr>
                    <a:picLocks noChangeAspect="1" noChangeArrowheads="1"/>
                  </pic:cNvPicPr>
                </pic:nvPicPr>
                <pic:blipFill>
                  <a:blip xmlns:r="http://schemas.openxmlformats.org/officeDocument/2006/relationships" r:embed="rId1">
                    <a:extLst>
                      <a:ext xmlns:a="http://schemas.openxmlformats.org/drawingml/2006/main" uri="{BEBA8EAE-BF5A-486C-A8C5-ECC9F3942E4B}">
                        <a14:imgProps xmlns:a14="http://schemas.microsoft.com/office/drawing/2010/main">
                          <a14:imgLayer>
                            <a14:imgEffect>
                              <a14:colorTemperature colorTemp="64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FF0532">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5"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C66E9" w:rsidRPr="00FF0532" w:rsidP="00483A7F" w14:paraId="37E03F7C" w14:textId="77777777">
                          <w:pPr>
                            <w:spacing w:line="194" w:lineRule="exact"/>
                            <w:ind w:left="23" w:right="-45" w:firstLine="0"/>
                            <w:jc w:val="center"/>
                            <w:rPr>
                              <w:rFonts w:eastAsia="Times New Roman"/>
                              <w:sz w:val="17"/>
                              <w:szCs w:val="17"/>
                              <w:lang w:val="lv-LV"/>
                            </w:rPr>
                          </w:pPr>
                          <w:r w:rsidRPr="00FF0532">
                            <w:rPr>
                              <w:rFonts w:eastAsia="Times New Roman"/>
                              <w:color w:val="231F20"/>
                              <w:sz w:val="17"/>
                              <w:szCs w:val="17"/>
                              <w:lang w:val="lv-LV"/>
                            </w:rPr>
                            <w:t>Republikas laukums 2, Rīga, LV-1981, tālr. 67027010, fakss 67027512, e-pasts zm@zm.gov.lv, www.zm.gov.lv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8C66E9" w:rsidRPr="00FF0532" w:rsidP="00483A7F">
                    <w:pPr>
                      <w:spacing w:line="194" w:lineRule="exact"/>
                      <w:ind w:left="23" w:right="-45" w:firstLine="0"/>
                      <w:jc w:val="center"/>
                      <w:rPr>
                        <w:rFonts w:eastAsia="Times New Roman"/>
                        <w:sz w:val="17"/>
                        <w:szCs w:val="17"/>
                        <w:lang w:val="lv-LV"/>
                      </w:rPr>
                    </w:pPr>
                    <w:r w:rsidRPr="00FF0532">
                      <w:rPr>
                        <w:rFonts w:eastAsia="Times New Roman"/>
                        <w:color w:val="231F20"/>
                        <w:sz w:val="17"/>
                        <w:szCs w:val="17"/>
                        <w:lang w:val="lv-LV"/>
                      </w:rPr>
                      <w:t>Republikas laukums 2, Rīga, LV-1981, tālr. 67027010, fakss 67027512, e-pasts zm@zm.gov.lv, www.zm.gov.lv</w:t>
                    </w:r>
                  </w:p>
                </w:txbxContent>
              </v:textbox>
            </v:shape>
          </w:pict>
        </mc:Fallback>
      </mc:AlternateContent>
    </w:r>
    <w:r w:rsidRPr="00FF0532">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6"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7" name="Freeform 42"/>
                      <wps:cNvSpPr/>
                      <wps:spPr bwMode="auto">
                        <a:xfrm>
                          <a:off x="2915" y="2998"/>
                          <a:ext cx="6926" cy="2"/>
                        </a:xfrm>
                        <a:custGeom>
                          <a:avLst/>
                          <a:gdLst>
                            <a:gd name="T0" fmla="+- 0 2915 2915"/>
                            <a:gd name="T1" fmla="*/ T0 w 6926"/>
                            <a:gd name="T2" fmla="+- 0 9841 2915"/>
                            <a:gd name="T3" fmla="*/ T2 w 6926"/>
                          </a:gd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6A"/>
    <w:rsid w:val="00173FA5"/>
    <w:rsid w:val="00331F1F"/>
    <w:rsid w:val="00337F53"/>
    <w:rsid w:val="00356144"/>
    <w:rsid w:val="00464827"/>
    <w:rsid w:val="00483A7F"/>
    <w:rsid w:val="004E725F"/>
    <w:rsid w:val="00523684"/>
    <w:rsid w:val="005F7717"/>
    <w:rsid w:val="00743164"/>
    <w:rsid w:val="00776EBD"/>
    <w:rsid w:val="007869BB"/>
    <w:rsid w:val="00816F71"/>
    <w:rsid w:val="00890D7B"/>
    <w:rsid w:val="008C66E9"/>
    <w:rsid w:val="00966120"/>
    <w:rsid w:val="00A276EF"/>
    <w:rsid w:val="00AB3DCE"/>
    <w:rsid w:val="00B747D5"/>
    <w:rsid w:val="00DF3C39"/>
    <w:rsid w:val="00E5653E"/>
    <w:rsid w:val="00E74179"/>
    <w:rsid w:val="00F50A6A"/>
    <w:rsid w:val="00FC0B71"/>
    <w:rsid w:val="00FF0532"/>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5:docId w15:val="{372215E3-905E-49B9-AF97-A94A55EA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A7F"/>
    <w:pPr>
      <w:widowControl w:val="0"/>
      <w:ind w:firstLine="720"/>
      <w:jc w:val="both"/>
    </w:pPr>
    <w:rPr>
      <w:rFonts w:ascii="Times New Roman" w:hAnsi="Times New Roma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nhideWhenUsed/>
    <w:rsid w:val="00815277"/>
    <w:pPr>
      <w:tabs>
        <w:tab w:val="center" w:pos="4320"/>
        <w:tab w:val="right" w:pos="8640"/>
      </w:tabs>
    </w:pPr>
  </w:style>
  <w:style w:type="character" w:customStyle="1" w:styleId="GalveneRakstz">
    <w:name w:val="Galvene Rakstz."/>
    <w:basedOn w:val="DefaultParagraphFont"/>
    <w:link w:val="Header"/>
    <w:rsid w:val="00815277"/>
  </w:style>
  <w:style w:type="paragraph" w:styleId="Footer">
    <w:name w:val="footer"/>
    <w:basedOn w:val="Normal"/>
    <w:link w:val="KjeneRakstz"/>
    <w:uiPriority w:val="99"/>
    <w:unhideWhenUsed/>
    <w:rsid w:val="00815277"/>
    <w:pPr>
      <w:tabs>
        <w:tab w:val="center" w:pos="4320"/>
        <w:tab w:val="right" w:pos="8640"/>
      </w:tabs>
    </w:pPr>
  </w:style>
  <w:style w:type="character" w:customStyle="1" w:styleId="KjeneRakstz">
    <w:name w:val="Kājene Rakstz."/>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VienkrstekstsRakstz"/>
    <w:uiPriority w:val="99"/>
    <w:semiHidden/>
    <w:unhideWhenUsed/>
    <w:rsid w:val="00D21FA6"/>
    <w:pPr>
      <w:widowControl/>
    </w:pPr>
    <w:rPr>
      <w:szCs w:val="21"/>
      <w:lang w:val="lv-LV"/>
    </w:rPr>
  </w:style>
  <w:style w:type="character" w:customStyle="1" w:styleId="VienkrstekstsRakstz">
    <w:name w:val="Vienkāršs teksts Rakstz."/>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loonText"/>
    <w:uiPriority w:val="99"/>
    <w:semiHidden/>
    <w:rsid w:val="00030349"/>
    <w:rPr>
      <w:rFonts w:ascii="Tahoma" w:hAnsi="Tahoma" w:cs="Tahoma"/>
      <w:sz w:val="16"/>
      <w:szCs w:val="16"/>
    </w:rPr>
  </w:style>
  <w:style w:type="character" w:customStyle="1" w:styleId="naisf14ptRakstz">
    <w:name w:val="naisf + 14pt Rakstz."/>
    <w:link w:val="naisf14pt"/>
    <w:locked/>
    <w:rsid w:val="00D74F58"/>
    <w:rPr>
      <w:sz w:val="28"/>
      <w:szCs w:val="24"/>
    </w:rPr>
  </w:style>
  <w:style w:type="paragraph" w:customStyle="1" w:styleId="naisf14pt">
    <w:name w:val="naisf + 14pt"/>
    <w:basedOn w:val="Normal"/>
    <w:link w:val="naisf14ptRakstz"/>
    <w:rsid w:val="00D74F58"/>
    <w:pPr>
      <w:widowControl/>
      <w:ind w:right="57" w:firstLine="709"/>
    </w:pPr>
    <w:rPr>
      <w:sz w:val="28"/>
      <w:szCs w:val="24"/>
      <w:lang w:val="lv-LV" w:eastAsia="lv-LV"/>
    </w:rPr>
  </w:style>
  <w:style w:type="paragraph" w:styleId="NoSpacing">
    <w:name w:val="No Spacing"/>
    <w:uiPriority w:val="1"/>
    <w:qFormat/>
    <w:rsid w:val="00331F1F"/>
    <w:pPr>
      <w:widowControl w:val="0"/>
      <w:jc w:val="both"/>
    </w:pPr>
    <w:rPr>
      <w:rFonts w:ascii="Times New Roman" w:hAnsi="Times New Roman"/>
      <w:sz w:val="24"/>
      <w:szCs w:val="22"/>
      <w:lang w:val="en-US" w:eastAsia="en-US"/>
    </w:rPr>
  </w:style>
  <w:style w:type="paragraph" w:styleId="BodyTextIndent">
    <w:name w:val="Body Text Indent"/>
    <w:basedOn w:val="Normal"/>
    <w:link w:val="PamattekstsaratkpiRakstz"/>
    <w:uiPriority w:val="99"/>
    <w:unhideWhenUsed/>
    <w:rsid w:val="00523684"/>
    <w:pPr>
      <w:widowControl/>
      <w:spacing w:before="120" w:after="120"/>
      <w:ind w:left="283" w:firstLine="0"/>
      <w:jc w:val="left"/>
    </w:pPr>
    <w:rPr>
      <w:rFonts w:eastAsia="Times New Roman"/>
      <w:sz w:val="20"/>
      <w:szCs w:val="20"/>
      <w:lang w:val="lv-LV"/>
    </w:rPr>
  </w:style>
  <w:style w:type="character" w:customStyle="1" w:styleId="PamattekstsaratkpiRakstz">
    <w:name w:val="Pamatteksts ar atkāpi Rakstz."/>
    <w:basedOn w:val="DefaultParagraphFont"/>
    <w:link w:val="BodyTextIndent"/>
    <w:uiPriority w:val="99"/>
    <w:rsid w:val="00523684"/>
    <w:rPr>
      <w:rFonts w:ascii="Times New Roman" w:eastAsia="Times New Roman" w:hAnsi="Times New Roman"/>
      <w:lang w:eastAsia="en-US"/>
    </w:rPr>
  </w:style>
  <w:style w:type="character" w:styleId="Strong">
    <w:name w:val="Strong"/>
    <w:basedOn w:val="DefaultParagraphFont"/>
    <w:uiPriority w:val="22"/>
    <w:qFormat/>
    <w:rsid w:val="00AB3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7775</Words>
  <Characters>4433</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dc:creator>
  <cp:lastModifiedBy>Elīna Jankeviča</cp:lastModifiedBy>
  <cp:revision>10</cp:revision>
  <dcterms:created xsi:type="dcterms:W3CDTF">2016-07-19T09:57:00Z</dcterms:created>
  <dcterms:modified xsi:type="dcterms:W3CDTF">2018-05-08T07:08:00Z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